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eastAsia="Times New Roman"/>
          <w:b/>
          <w:b/>
          <w:spacing w:val="80"/>
          <w:sz w:val="28"/>
          <w:szCs w:val="24"/>
          <w:lang w:eastAsia="hu-HU"/>
        </w:rPr>
      </w:pPr>
      <w:r>
        <w:rPr>
          <w:rFonts w:eastAsia="Times New Roman"/>
          <w:b/>
          <w:spacing w:val="80"/>
          <w:sz w:val="28"/>
          <w:szCs w:val="24"/>
          <w:lang w:eastAsia="hu-HU"/>
        </w:rPr>
        <w:t>BESZÁMOLÓ</w:t>
      </w:r>
    </w:p>
    <w:p>
      <w:pPr>
        <w:pStyle w:val="Normal"/>
        <w:jc w:val="center"/>
        <w:rPr>
          <w:rFonts w:eastAsia="Times New Roman"/>
          <w:b/>
          <w:b/>
          <w:sz w:val="28"/>
          <w:szCs w:val="24"/>
          <w:lang w:eastAsia="hu-HU"/>
        </w:rPr>
      </w:pPr>
      <w:r>
        <w:rPr>
          <w:rFonts w:eastAsia="Times New Roman"/>
          <w:b/>
          <w:sz w:val="28"/>
          <w:szCs w:val="24"/>
          <w:lang w:eastAsia="hu-HU"/>
        </w:rPr>
      </w:r>
    </w:p>
    <w:p>
      <w:pPr>
        <w:pStyle w:val="Normal"/>
        <w:jc w:val="center"/>
        <w:rPr>
          <w:rFonts w:eastAsia="Times New Roman"/>
          <w:b/>
          <w:b/>
          <w:sz w:val="28"/>
          <w:szCs w:val="24"/>
          <w:lang w:eastAsia="hu-HU"/>
        </w:rPr>
      </w:pPr>
      <w:r>
        <w:rPr>
          <w:rFonts w:eastAsia="Times New Roman"/>
          <w:b/>
          <w:sz w:val="28"/>
          <w:szCs w:val="24"/>
          <w:lang w:eastAsia="hu-HU"/>
        </w:rPr>
        <w:t>A Képviselő-testület 2017. szeptember 19-én 14 órától tartandó rendes ülésére a Polgármesteri Hivatal tevékenységéről</w:t>
      </w:r>
    </w:p>
    <w:p>
      <w:pPr>
        <w:pStyle w:val="Normal"/>
        <w:jc w:val="left"/>
        <w:rPr>
          <w:rFonts w:eastAsia="Times New Roman"/>
          <w:szCs w:val="24"/>
          <w:lang w:eastAsia="hu-HU"/>
        </w:rPr>
      </w:pPr>
      <w:r>
        <w:rPr>
          <w:rFonts w:eastAsia="Times New Roman"/>
          <w:szCs w:val="24"/>
          <w:lang w:eastAsia="hu-HU"/>
        </w:rPr>
      </w:r>
    </w:p>
    <w:p>
      <w:pPr>
        <w:pStyle w:val="Normal"/>
        <w:jc w:val="left"/>
        <w:rPr>
          <w:rFonts w:eastAsia="Times New Roman"/>
          <w:szCs w:val="24"/>
          <w:lang w:eastAsia="hu-HU"/>
        </w:rPr>
      </w:pPr>
      <w:r>
        <w:rPr>
          <w:rFonts w:eastAsia="Times New Roman"/>
          <w:szCs w:val="24"/>
          <w:lang w:eastAsia="hu-HU"/>
        </w:rPr>
      </w:r>
    </w:p>
    <w:p>
      <w:pPr>
        <w:pStyle w:val="Normal"/>
        <w:jc w:val="center"/>
        <w:rPr>
          <w:rFonts w:eastAsia="Times New Roman"/>
          <w:b/>
          <w:b/>
          <w:szCs w:val="24"/>
          <w:lang w:eastAsia="hu-HU"/>
        </w:rPr>
      </w:pPr>
      <w:r>
        <w:rPr>
          <w:rFonts w:eastAsia="Times New Roman"/>
          <w:b/>
          <w:szCs w:val="24"/>
          <w:lang w:eastAsia="hu-HU"/>
        </w:rPr>
        <w:t>Tisztelt Képviselő-testület!</w:t>
      </w:r>
    </w:p>
    <w:p>
      <w:pPr>
        <w:pStyle w:val="Normal"/>
        <w:jc w:val="left"/>
        <w:rPr>
          <w:rFonts w:eastAsia="Times New Roman"/>
          <w:szCs w:val="24"/>
          <w:lang w:eastAsia="hu-HU"/>
        </w:rPr>
      </w:pPr>
      <w:r>
        <w:rPr>
          <w:rFonts w:eastAsia="Times New Roman"/>
          <w:szCs w:val="24"/>
          <w:lang w:eastAsia="hu-HU"/>
        </w:rPr>
      </w:r>
    </w:p>
    <w:p>
      <w:pPr>
        <w:pStyle w:val="Normal"/>
        <w:jc w:val="left"/>
        <w:rPr>
          <w:rFonts w:eastAsia="Times New Roman"/>
          <w:szCs w:val="24"/>
          <w:lang w:eastAsia="hu-HU"/>
        </w:rPr>
      </w:pPr>
      <w:r>
        <w:rPr>
          <w:rFonts w:eastAsia="Times New Roman"/>
          <w:szCs w:val="24"/>
          <w:lang w:eastAsia="hu-HU"/>
        </w:rPr>
      </w:r>
    </w:p>
    <w:p>
      <w:pPr>
        <w:pStyle w:val="Normal"/>
        <w:jc w:val="both"/>
        <w:rPr/>
      </w:pPr>
      <w:r>
        <w:rPr>
          <w:rFonts w:eastAsia="Calibri"/>
          <w:szCs w:val="24"/>
        </w:rPr>
        <w:t>A Magyarország helyi önkormányzatairól szóló 2011. évi CLXXXIX. törvény 81. § (2) bekezdésének f) pontja alapján a jegyző évente beszámol a Képviselő-testületnek a hivatal tevékenységéről. A munkaterv szerint ez a beszámoló a szeptemberi ülésre van ütemezve. A legutóbbi beszámoló a 2016. szeptemberi ülésen volt, a Képviselő-testület a hivatal tájékoztatóját elfogadta. Jelenleg 15 fő dolgozik a hivatalban. Az előző beszámolóhoz képest változás, hogy a Gyed-en lévő műszaki ügyintéző helyére sikerült felvenni egy friss diplomás helyi fiatalt, aki egyből a mély vízbe csöppent a TOP-os pályázatok miatt. Ezek mellett sok olyan feladatot is átvett, amit eddig más végzett. A pénzügyi csoport létszámát is sikerült 4 főre kiegészíteni egy olyan dolgozóval, aki ezt megelőzően már itt dolgozott a hivatalban közcélúként, és így némi rálátással rendelkezett az elvégzendő feladatokkal kapcsolatban.</w:t>
      </w:r>
    </w:p>
    <w:p>
      <w:pPr>
        <w:pStyle w:val="Normal"/>
        <w:jc w:val="both"/>
        <w:rPr/>
      </w:pPr>
      <w:r>
        <w:rPr>
          <w:rFonts w:eastAsia="Calibri"/>
          <w:szCs w:val="24"/>
        </w:rPr>
        <w:t xml:space="preserve">Egy fő titkársági ügyintéző felvételére került sor még ebben az évben, melyre nagy szükség volt a megnövekedett adminisztrációs terhek miatt. </w:t>
      </w:r>
      <w:r>
        <w:rPr>
          <w:rFonts w:eastAsia="Times New Roman"/>
          <w:szCs w:val="24"/>
          <w:lang w:eastAsia="hu-HU"/>
        </w:rPr>
        <w:t>Varga József jegyző munkaviszonyának megszűnése után az állás betöltésre került, azonban nem bizonyult tartósnak a munkaviszony, így ismételten pályázatot kellett kiírni. A pályázat sikeres volt, jelenleg Dr. Olasz Imréné dr. látja el a jegyzői feladatokat, aki e területen sok évi tapasztalattal rendelkezik.</w:t>
      </w:r>
    </w:p>
    <w:p>
      <w:pPr>
        <w:pStyle w:val="Normal"/>
        <w:jc w:val="both"/>
        <w:rPr>
          <w:rFonts w:eastAsia="Times New Roman"/>
          <w:szCs w:val="24"/>
          <w:lang w:eastAsia="hu-HU"/>
        </w:rPr>
      </w:pPr>
      <w:r>
        <w:rPr>
          <w:rFonts w:eastAsia="Times New Roman"/>
          <w:szCs w:val="24"/>
          <w:lang w:eastAsia="hu-HU"/>
        </w:rPr>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b/>
          <w:szCs w:val="24"/>
          <w:lang w:eastAsia="hu-HU"/>
        </w:rPr>
        <w:t>Munkaügyi igazgatás:</w:t>
      </w:r>
    </w:p>
    <w:p>
      <w:pPr>
        <w:pStyle w:val="Normal"/>
        <w:jc w:val="both"/>
        <w:rPr>
          <w:rFonts w:eastAsia="Times New Roman"/>
          <w:szCs w:val="24"/>
          <w:lang w:eastAsia="hu-HU"/>
        </w:rPr>
      </w:pPr>
      <w:r>
        <w:rPr>
          <w:rFonts w:eastAsia="Times New Roman"/>
          <w:szCs w:val="24"/>
          <w:lang w:eastAsia="hu-HU"/>
        </w:rPr>
      </w:r>
    </w:p>
    <w:p>
      <w:pPr>
        <w:pStyle w:val="Normal"/>
        <w:jc w:val="both"/>
        <w:rPr/>
      </w:pPr>
      <w:r>
        <w:rPr/>
        <w:t>A Munkaügyi Igazgatás területén az alábbiakról tájékoztatom a Tisztelt Képviselő-testületet:</w:t>
      </w:r>
    </w:p>
    <w:p>
      <w:pPr>
        <w:pStyle w:val="Normal"/>
        <w:jc w:val="both"/>
        <w:rPr/>
      </w:pPr>
      <w:r>
        <w:rPr/>
      </w:r>
    </w:p>
    <w:p>
      <w:pPr>
        <w:pStyle w:val="Normal"/>
        <w:jc w:val="both"/>
        <w:rPr/>
      </w:pPr>
      <w:r>
        <w:rPr/>
        <w:t>A 2017. évi START programok közül a mezőgazdasági és a helyi sajátosságokra épülő 2017. március 6-án kezdődtek és 2018. február 28. napjáig tartanak.</w:t>
      </w:r>
    </w:p>
    <w:p>
      <w:pPr>
        <w:pStyle w:val="Normal"/>
        <w:jc w:val="both"/>
        <w:rPr/>
      </w:pPr>
      <w:r>
        <w:rPr/>
        <w:t>A közút program 2017. április 1. napjától 2017. december 31. napjáig tart.</w:t>
      </w:r>
    </w:p>
    <w:p>
      <w:pPr>
        <w:pStyle w:val="Normal"/>
        <w:jc w:val="both"/>
        <w:rPr/>
      </w:pPr>
      <w:r>
        <w:rPr/>
      </w:r>
    </w:p>
    <w:p>
      <w:pPr>
        <w:pStyle w:val="Normal"/>
        <w:jc w:val="both"/>
        <w:rPr/>
      </w:pPr>
      <w:r>
        <w:rPr/>
        <w:t>A programokban folytatjuk a már megkezdett tevékenységeket, valamilyen új, vagy többlet tevékenységgel kibővítve, mivel csak ebben az esetben tudtunk sikeresen pályázni.</w:t>
      </w:r>
    </w:p>
    <w:p>
      <w:pPr>
        <w:pStyle w:val="Normal"/>
        <w:jc w:val="both"/>
        <w:rPr/>
      </w:pPr>
      <w:r>
        <w:rPr/>
      </w:r>
    </w:p>
    <w:p>
      <w:pPr>
        <w:pStyle w:val="Normal"/>
        <w:jc w:val="both"/>
        <w:rPr/>
      </w:pPr>
      <w:r>
        <w:rPr/>
        <w:t>A mezőgazdasági programunk fő elemei a szántóföldi növénytermesztés, a konyhakerti növények termesztése, állattartás.</w:t>
      </w:r>
    </w:p>
    <w:p>
      <w:pPr>
        <w:pStyle w:val="Normal"/>
        <w:jc w:val="both"/>
        <w:rPr/>
      </w:pPr>
      <w:r>
        <w:rPr/>
        <w:t>Gondolok itt a fóliázásra, paprika termesztésre, krumpli termesztésre, stb., a sertés és juh tartásra.</w:t>
      </w:r>
    </w:p>
    <w:p>
      <w:pPr>
        <w:pStyle w:val="Normal"/>
        <w:jc w:val="both"/>
        <w:rPr/>
      </w:pPr>
      <w:r>
        <w:rPr/>
        <w:t>A mezőgazdasági programot ebben az évben a kendertermesztés területének növelésével bővítettük.</w:t>
      </w:r>
    </w:p>
    <w:p>
      <w:pPr>
        <w:pStyle w:val="Normal"/>
        <w:jc w:val="both"/>
        <w:rPr/>
      </w:pPr>
      <w:r>
        <w:rPr/>
        <w:t>Ezt a tevékenységet 37 fő foglalkoztatására pályáztuk, ebből jelenleg 2 fő hiányzik.</w:t>
      </w:r>
    </w:p>
    <w:p>
      <w:pPr>
        <w:pStyle w:val="Normal"/>
        <w:jc w:val="both"/>
        <w:rPr/>
      </w:pPr>
      <w:r>
        <w:rPr/>
        <w:t xml:space="preserve"> </w:t>
      </w:r>
    </w:p>
    <w:p>
      <w:pPr>
        <w:pStyle w:val="Normal"/>
        <w:jc w:val="both"/>
        <w:rPr/>
      </w:pPr>
      <w:r>
        <w:rPr/>
        <w:t>A helyi sajátosságra épülő programunkban a fő elemek a betonelemek gyártása, cirokseprű készítése, a földtégla gyártása, drótfonat készítés, asztalosipari termékek készítése. Ebben a programban az ez évi bővítés a Bajcsy u. 110. alatt lévő volt húsbolt felújítása, bővítése, a Bajcsy u 144. alatt gépszín építése és a Kossuth u. 1. szám alatti műhelyek felújítása.</w:t>
      </w:r>
    </w:p>
    <w:p>
      <w:pPr>
        <w:pStyle w:val="Normal"/>
        <w:jc w:val="both"/>
        <w:rPr/>
      </w:pPr>
      <w:r>
        <w:rPr/>
        <w:t>A programot 30 fő foglalkoztatására állítottuk össze, melyből jelenleg 28 fő áll jogviszonyban.</w:t>
      </w:r>
    </w:p>
    <w:p>
      <w:pPr>
        <w:pStyle w:val="Normal"/>
        <w:jc w:val="both"/>
        <w:rPr/>
      </w:pPr>
      <w:r>
        <w:rPr/>
      </w:r>
    </w:p>
    <w:p>
      <w:pPr>
        <w:pStyle w:val="Normal"/>
        <w:jc w:val="both"/>
        <w:rPr/>
      </w:pPr>
      <w:r>
        <w:rPr/>
        <w:t>A közút programban minden évben újra és újra van tennivaló, így erre a programelemre nagy szükség van. A program fő tevékenységei: útpadkázás, útjavítás, járda készítés, csapadékvíz elvezetés.</w:t>
      </w:r>
    </w:p>
    <w:p>
      <w:pPr>
        <w:pStyle w:val="Normal"/>
        <w:jc w:val="both"/>
        <w:rPr/>
      </w:pPr>
      <w:r>
        <w:rPr/>
        <w:t>A programban egy földgyalu került megvásárlásra, melynek tevékenysége  /  padka nyesés, útalap készítés, télen hó eltakarítás/ bővítette az ez évi tevékenységet.</w:t>
      </w:r>
    </w:p>
    <w:p>
      <w:pPr>
        <w:pStyle w:val="Normal"/>
        <w:jc w:val="both"/>
        <w:rPr/>
      </w:pPr>
      <w:r>
        <w:rPr/>
        <w:t>15 fő foglalkoztatását vállaltuk a pályázatban, jelenleg 14 fő dolgozik.</w:t>
      </w:r>
    </w:p>
    <w:p>
      <w:pPr>
        <w:pStyle w:val="Normal"/>
        <w:jc w:val="both"/>
        <w:rPr/>
      </w:pPr>
      <w:r>
        <w:rPr/>
      </w:r>
    </w:p>
    <w:p>
      <w:pPr>
        <w:pStyle w:val="Normal"/>
        <w:jc w:val="both"/>
        <w:rPr/>
      </w:pPr>
      <w:r>
        <w:rPr/>
        <w:t>Sajnos, minden programban létszámhiánnyal küzdünk, vannak üres helyek, melyeket a Járási Hivatal Foglalkoztatási Osztályával együttműködve sem tudunk feltölteni.</w:t>
      </w:r>
    </w:p>
    <w:p>
      <w:pPr>
        <w:pStyle w:val="Normal"/>
        <w:jc w:val="both"/>
        <w:rPr/>
      </w:pPr>
      <w:r>
        <w:rPr/>
      </w:r>
    </w:p>
    <w:p>
      <w:pPr>
        <w:pStyle w:val="Normal"/>
        <w:jc w:val="both"/>
        <w:rPr/>
      </w:pPr>
      <w:r>
        <w:rPr/>
        <w:t xml:space="preserve">Ezen kívül van az ún.: hosszú közfoglalkoztatás, melynek keretében március 16-tól augusztus 31-ig foglalkoztattunk 5 főt. </w:t>
      </w:r>
    </w:p>
    <w:p>
      <w:pPr>
        <w:pStyle w:val="Normal"/>
        <w:jc w:val="both"/>
        <w:rPr/>
      </w:pPr>
      <w:r>
        <w:rPr/>
      </w:r>
    </w:p>
    <w:p>
      <w:pPr>
        <w:pStyle w:val="Normal"/>
        <w:jc w:val="both"/>
        <w:rPr/>
      </w:pPr>
      <w:r>
        <w:rPr/>
        <w:t>Ebben az évben is megrendezésre került a Békés megyei Szakmai Közfoglalkoztatási kiállítás és vásár szeptember 7-én Békéscsabán.</w:t>
      </w:r>
    </w:p>
    <w:p>
      <w:pPr>
        <w:pStyle w:val="Normal"/>
        <w:jc w:val="both"/>
        <w:rPr/>
      </w:pPr>
      <w:r>
        <w:rPr/>
        <w:t>Munkavállalóink összefogással színvonalas bemutató standot építettek fel, melyben bemutatták a foglalkoztatásban létrehozott, megtermelt termékeinket, kibővítve egy olyan kóstolási lehetőséggel, ahol az érdeklődők a megtermelt konyhakerti növényekből készült ételeket ízlelhették meg.</w:t>
      </w:r>
    </w:p>
    <w:p>
      <w:pPr>
        <w:pStyle w:val="Normal"/>
        <w:jc w:val="both"/>
        <w:rPr/>
      </w:pPr>
      <w:r>
        <w:rPr/>
      </w:r>
    </w:p>
    <w:p>
      <w:pPr>
        <w:pStyle w:val="Normal"/>
        <w:jc w:val="both"/>
        <w:rPr/>
      </w:pPr>
      <w:bookmarkStart w:id="0" w:name="_GoBack5"/>
      <w:bookmarkEnd w:id="0"/>
      <w:r>
        <w:rPr/>
        <w:t>A Békés megyei Kormányhivatal Járási Hivatala Foglalkoztatási Osztályának Vezetője köszönő levélben gratulált a szép, és látványos, a közfoglalkoztatás értékteremtő tevékenységét hűen tükröző kiállítási standhoz. Egyben megköszönte a közfoglalkoztatásban dolgozók, és a közfoglalkoztatás szervezésében résztvevők  segítő munkáját.</w:t>
      </w:r>
    </w:p>
    <w:p>
      <w:pPr>
        <w:pStyle w:val="Normal"/>
        <w:jc w:val="both"/>
        <w:rPr/>
      </w:pPr>
      <w:r>
        <w:rPr/>
      </w:r>
    </w:p>
    <w:p>
      <w:pPr>
        <w:pStyle w:val="Normal"/>
        <w:jc w:val="both"/>
        <w:rPr/>
      </w:pPr>
      <w:r>
        <w:rPr/>
      </w:r>
    </w:p>
    <w:p>
      <w:pPr>
        <w:pStyle w:val="Normal"/>
        <w:jc w:val="both"/>
        <w:rPr/>
      </w:pPr>
      <w:r>
        <w:rPr>
          <w:b/>
        </w:rPr>
        <w:t>Anyakönyvi igazgatás</w:t>
      </w:r>
      <w:r>
        <w:rPr/>
        <w:t>:</w:t>
      </w:r>
    </w:p>
    <w:p>
      <w:pPr>
        <w:pStyle w:val="Normal"/>
        <w:jc w:val="both"/>
        <w:rPr/>
      </w:pPr>
      <w:r>
        <w:rPr/>
      </w:r>
    </w:p>
    <w:p>
      <w:pPr>
        <w:pStyle w:val="Normal"/>
        <w:jc w:val="both"/>
        <w:rPr/>
      </w:pPr>
      <w:r>
        <w:rPr/>
        <w:t>Az</w:t>
      </w:r>
      <w:r>
        <w:rPr>
          <w:b/>
        </w:rPr>
        <w:t xml:space="preserve"> anyakönyvi igazgatás</w:t>
      </w:r>
      <w:r>
        <w:rPr/>
        <w:t xml:space="preserve"> területén örömmel számolok be arról, hogy továbbra is helyben történik a Gádoroson bekövetkezett anyakönyvi események feldolgozása.</w:t>
      </w:r>
    </w:p>
    <w:p>
      <w:pPr>
        <w:pStyle w:val="Normal"/>
        <w:jc w:val="both"/>
        <w:rPr/>
      </w:pPr>
      <w:r>
        <w:rPr/>
        <w:t>2016. évben 7 házasságkötés volt, mely esemény a házasságkötő teremben történt. Külső helyszíni 2016. évben nem volt.</w:t>
      </w:r>
    </w:p>
    <w:p>
      <w:pPr>
        <w:pStyle w:val="Normal"/>
        <w:jc w:val="both"/>
        <w:rPr/>
      </w:pPr>
      <w:r>
        <w:rPr/>
        <w:t xml:space="preserve">Az Elektronikus Anyakönyvi rendszerben anyakönyvi esemény rögzítése 189 esetben történt. </w:t>
      </w:r>
    </w:p>
    <w:p>
      <w:pPr>
        <w:pStyle w:val="Normal"/>
        <w:jc w:val="both"/>
        <w:rPr/>
      </w:pPr>
      <w:r>
        <w:rPr/>
        <w:t xml:space="preserve">Ezek születés, házasságkötés, haláleset berögzítése a számítógépes rendszerbe a régi, 2006. február 28-ig vezetett papíralapú anyakönyvekből. </w:t>
      </w:r>
    </w:p>
    <w:p>
      <w:pPr>
        <w:pStyle w:val="Normal"/>
        <w:jc w:val="both"/>
        <w:rPr/>
      </w:pPr>
      <w:r>
        <w:rPr/>
      </w:r>
    </w:p>
    <w:p>
      <w:pPr>
        <w:pStyle w:val="Normal"/>
        <w:jc w:val="both"/>
        <w:rPr>
          <w:rFonts w:eastAsia="Times New Roman"/>
          <w:szCs w:val="24"/>
          <w:lang w:eastAsia="hu-HU"/>
        </w:rPr>
      </w:pPr>
      <w:r>
        <w:rPr>
          <w:rFonts w:eastAsia="Times New Roman"/>
          <w:szCs w:val="24"/>
          <w:lang w:eastAsia="hu-HU"/>
        </w:rPr>
        <w:t>Az elmúlt évben távozott egy anyakönyvvezető kolléganő, ebben az évben pedig egy másik. Jelenleg egy anyakönyvvezető van a hivatalban, akinek jogosultsága van bármilyen anyakönyvi ügy végzéséhez, ezért szükségessé vált egy másik személy tanfolyamra küldése, hiszen szabadság vagy betegség esetén a hivatalban senki nem végezhet bejegyzést a régi anyakönyvekbe, illetve a jelenlegi Elektronikus Anyakönyvi Rendszerben.</w:t>
      </w:r>
    </w:p>
    <w:p>
      <w:pPr>
        <w:pStyle w:val="Normal"/>
        <w:jc w:val="both"/>
        <w:rPr>
          <w:rFonts w:eastAsia="Times New Roman"/>
          <w:szCs w:val="24"/>
          <w:lang w:eastAsia="hu-HU"/>
        </w:rPr>
      </w:pPr>
      <w:r>
        <w:rPr>
          <w:rFonts w:eastAsia="Times New Roman"/>
          <w:szCs w:val="24"/>
          <w:lang w:eastAsia="hu-HU"/>
        </w:rPr>
      </w:r>
    </w:p>
    <w:p>
      <w:pPr>
        <w:pStyle w:val="Normal"/>
        <w:jc w:val="both"/>
        <w:rPr/>
      </w:pPr>
      <w:r>
        <w:rPr/>
      </w:r>
    </w:p>
    <w:p>
      <w:pPr>
        <w:pStyle w:val="Normal"/>
        <w:spacing w:lineRule="auto" w:line="259"/>
        <w:rPr>
          <w:u w:val="none"/>
        </w:rPr>
      </w:pPr>
      <w:r>
        <w:rPr>
          <w:rFonts w:eastAsia="Times New Roman"/>
          <w:b/>
          <w:szCs w:val="24"/>
          <w:u w:val="none"/>
          <w:lang w:eastAsia="hu-HU"/>
        </w:rPr>
        <w:t>Rendszeres gyermekvédelmi kedvezmény</w:t>
      </w:r>
    </w:p>
    <w:p>
      <w:pPr>
        <w:pStyle w:val="Normal"/>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Jegyzői hatáskörben van továbbra is a rendszeres gyermekvédelmi kedvezmény iránti kérelmek elbírálása. A rendszeres gyermekvédelmi kedvezményre továbbra is azon gyermekek jogosultak, akiknek családjában az egy főre jutó jövedelem nem magasabb 37.050 Ft-nál, tartósan beteg gyermekek, nagykorúak, illetve egyedül álló szülő által nevelt gyermekek esetén 39.900 Ft-nál. További kitétel, hogy a család ne rendelkezzen a törvény által meghatározott értékűnél nagyobb vagyonnal. A kedvezményre jogosult gyermekek évente két alkalommal természetbeni támogatásban is részesülnek, augusztus és november hónapban (Erzsébet utalvány).</w:t>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 xml:space="preserve">Településünkön 2016. augusztus 1-jén 239 fő gyermek volt jogosult a kedvezményre. A természetbeni támogatást ez évben is (augusztus 24-én) Erzsébet utalvány formájában kapták a gyermekek, a családok. Az utalványok értéke a korábbi évhez képest (5800 Ft), az 1997. évi XXXI. törvény a gyermekek védelméről és a gyámügyi igazgatásról (rövidítve: Gyvt.) 2017. január 1-jén hatályba lépett módosításával az </w:t>
      </w:r>
      <w:r>
        <w:rPr>
          <w:rFonts w:eastAsia="Times New Roman"/>
          <w:b/>
          <w:szCs w:val="24"/>
          <w:lang w:eastAsia="hu-HU"/>
        </w:rPr>
        <w:t>Erzsébet-utalvány</w:t>
      </w:r>
      <w:r>
        <w:rPr>
          <w:rFonts w:eastAsia="Times New Roman"/>
          <w:szCs w:val="24"/>
          <w:lang w:eastAsia="hu-HU"/>
        </w:rPr>
        <w:t xml:space="preserve"> formájában nyújtott természetbeni támogatás összege 2017. évtől emelésre és differenciálásra került. </w:t>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Ez alapján a rendszeres gyermekvédelmi kedvezményre jogosult és egyben hátrányos, halmozottan hátrányos helyzetű gyermekek számára emelt összegű támogatás, az e feltételeknek nem megfelelő, de rendszeres gyermekvédelmi kedvezményre jogosult gyermekek számára alapösszegű támogatás került biztosításra, első alkalommal a 2017. augusztusi igénylési ütem során. Magyarország 2017. évi központi költségvetéséről szóló 2016. évi XC. törvény 64.§ (1) bekezdése az emelt összegű támogatás értékét 6.500 Ft-ban, az alapösszegű támogatás értékét 6.000 Ft-ban határozza meg.</w:t>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A rendszeres gyermekvédelmi kedvezmény iránti kérelmek elbírálásának ügyintézési határideje az egyéb ügyekben általánosan alkalmazandó 21 napos határidővel szemben 8 nap.</w:t>
      </w:r>
    </w:p>
    <w:p>
      <w:pPr>
        <w:pStyle w:val="Normal"/>
        <w:jc w:val="both"/>
        <w:rPr>
          <w:rFonts w:eastAsia="Times New Roman"/>
          <w:szCs w:val="24"/>
          <w:lang w:eastAsia="hu-HU"/>
        </w:rPr>
      </w:pPr>
      <w:r>
        <w:rPr>
          <w:rFonts w:eastAsia="Times New Roman"/>
          <w:szCs w:val="24"/>
          <w:lang w:eastAsia="hu-HU"/>
        </w:rPr>
      </w:r>
    </w:p>
    <w:p>
      <w:pPr>
        <w:pStyle w:val="Normal"/>
        <w:jc w:val="both"/>
        <w:rPr/>
      </w:pPr>
      <w:r>
        <w:rPr/>
        <w:t>2013. december 15-től minden szociális jellegű ellátást, így a rendszeres gyermekvédelmi kedvezményre való jogosultságot is a Nemzeti Rehabilitációs és Szociális Hivatal által működtetett pénzbeli és természetbeni ellátások rendszerében (PTR rendszer) is nyilván kell tartani. Minden megállapított jogosultságot a jogosult, illetve az ellátásban érintettek (szülők, testvérek, stb.) adatai, elsősorban TAJ-szám adatai alapján kell az</w:t>
      </w:r>
      <w:r>
        <w:rPr>
          <w:b/>
        </w:rPr>
        <w:t xml:space="preserve"> országos nyilvántartásba </w:t>
      </w:r>
      <w:r>
        <w:rPr/>
        <w:t>felvinni.</w:t>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 xml:space="preserve">Gádoroson évek óta megszervezzük </w:t>
      </w:r>
      <w:r>
        <w:rPr>
          <w:rFonts w:eastAsia="Times New Roman"/>
          <w:b/>
          <w:szCs w:val="24"/>
          <w:lang w:eastAsia="hu-HU"/>
        </w:rPr>
        <w:t>a gyermekek ingyenes szünidei szociális étkeztetését</w:t>
      </w:r>
      <w:r>
        <w:rPr>
          <w:rFonts w:eastAsia="Times New Roman"/>
          <w:szCs w:val="24"/>
          <w:lang w:eastAsia="hu-HU"/>
        </w:rPr>
        <w:t>, ez évben is sikeres volt erre irányuló pályázatunk. Ennek köszönhetően iskolások esetében (18 éves korig) július 4-től augusztus 31-ig 43 munkanapon át, az óvodások estében augusztus 1-től augusztus 31-ig (az óvoda zárva tartásának ideje alatt) 23 munkanapon át rendszeres gyermekvédelmi kedvezményre jogosult hátrányos vagy halmozottan hátrányos helyzetű gyermek ingyenes étkeztetése valósulhatott meg oly formában, hogy az ebédet az arra jogosultak elvihették a helyi Fejes Bt. konyhájáról.</w:t>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A központi költségvetésből önkormányzatunk bruttó 570 Ft támogatást kap adagonként a meleg ebédek biztosítására.</w:t>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 xml:space="preserve">A 2017. évi tavaszi szünetben összesen 126 adag (71.820 Ft) meleg étel került elvitelre a konyháról. </w:t>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 xml:space="preserve">A 2017. évi nyári szünetben </w:t>
      </w:r>
      <w:r>
        <w:rPr>
          <w:szCs w:val="24"/>
        </w:rPr>
        <w:t xml:space="preserve">94 fő iskoláskorú, és 21 fő óvodás korú, azaz összesen 115 gyermek étkeztetésére lett a pályázat benyújtva az állami támogatásra. 2017. </w:t>
      </w:r>
      <w:r>
        <w:rPr>
          <w:rFonts w:eastAsia="Times New Roman"/>
          <w:szCs w:val="24"/>
          <w:lang w:eastAsia="hu-HU"/>
        </w:rPr>
        <w:t>július 04. és augusztus 31. között 43 nap viszonylatában, összesen 4.525 adag meleg étel került elfogyasztásra, amely 2.579.250 Ft-ot jelent.</w:t>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A következő évközi szünetekre (őszi, téli, tavaszi) a 328/2011. (XII. 29.) Korm. rendelet 13/B.§ (1) bekezdése a) pontja alapján azon hátrányos helyzetű és rendszeres gyermekvédelmi kedvezményben részesülő, halmozottan hátrányos helyzetű gyermekeknek, akinek tekintetében a hátrányos vagy halmozottan hátrányos helyzet az adott év szeptember 1-jén fennáll, szeptember 15-ig kerülnek kiküldésre az igénylőlapok, a 328/2011. (XII. 29.) Korm. rendelet 13/B.§ (1) bekezdése b) pontja szerint a nyári szünet esetében pedig, akiknek jogosultsága május 1-jén fennáll, május 15-ig kapnak tájékoztatást.</w:t>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 xml:space="preserve">2013-ban változott a hátrányos, illetve halmozottan hátrányos helyzettel kapcsolatos törvényi szabályozás. 2013. szeptember 01-től </w:t>
      </w:r>
      <w:r>
        <w:rPr>
          <w:rFonts w:eastAsia="Times New Roman"/>
          <w:b/>
          <w:szCs w:val="24"/>
          <w:lang w:eastAsia="hu-HU"/>
        </w:rPr>
        <w:t>hátrányos helyzetű</w:t>
      </w:r>
      <w:r>
        <w:rPr>
          <w:rFonts w:eastAsia="Times New Roman"/>
          <w:szCs w:val="24"/>
          <w:lang w:eastAsia="hu-HU"/>
        </w:rPr>
        <w:t xml:space="preserve"> a gyermek, ha rendszeres gyermekvédelmi kedvezményre jogosult, és az alábbi körülmények közül </w:t>
      </w:r>
      <w:r>
        <w:rPr>
          <w:rFonts w:eastAsia="Times New Roman"/>
          <w:b/>
          <w:szCs w:val="24"/>
          <w:lang w:eastAsia="hu-HU"/>
        </w:rPr>
        <w:t>egy fennáll:</w:t>
      </w:r>
    </w:p>
    <w:p>
      <w:pPr>
        <w:pStyle w:val="Normal"/>
        <w:jc w:val="both"/>
        <w:rPr>
          <w:rFonts w:eastAsia="Times New Roman"/>
          <w:szCs w:val="24"/>
          <w:lang w:eastAsia="hu-HU"/>
        </w:rPr>
      </w:pPr>
      <w:r>
        <w:rPr>
          <w:rFonts w:eastAsia="Times New Roman"/>
          <w:szCs w:val="24"/>
          <w:lang w:eastAsia="hu-HU"/>
        </w:rPr>
      </w:r>
    </w:p>
    <w:p>
      <w:pPr>
        <w:pStyle w:val="Normal"/>
        <w:ind w:left="284" w:hanging="284"/>
        <w:jc w:val="both"/>
        <w:rPr/>
      </w:pPr>
      <w:r>
        <w:rPr>
          <w:rFonts w:eastAsia="Times New Roman"/>
          <w:szCs w:val="24"/>
          <w:lang w:eastAsia="hu-HU"/>
        </w:rPr>
        <w:t>a.) a rendszeres gyermekvédelmi kedvezmény igénylésének időpontjában a gyermeket együtt nevelő szülő, a gyermeket egyedül nevelő szülő, illetve a családba fogadó gyám legmagasabb iskolai végzettsége alapfokú (alacsony iskolai végzettség, melynek igazolása a kérelemben megtett önkéntes nyilatkozattal történik),</w:t>
      </w:r>
    </w:p>
    <w:p>
      <w:pPr>
        <w:pStyle w:val="Normal"/>
        <w:ind w:left="284" w:hanging="284"/>
        <w:jc w:val="both"/>
        <w:rPr/>
      </w:pPr>
      <w:r>
        <w:rPr>
          <w:rFonts w:eastAsia="Times New Roman"/>
          <w:szCs w:val="24"/>
          <w:lang w:eastAsia="hu-HU"/>
        </w:rPr>
        <w:t>b.) a rendszeres gyermekvédelmi kedvezmény igénylésének időpontjában a gyermeket nevelő szülők bármelyike vagy a családba fogadó gyám a szociális törvény szerinti aktív korúak ellátására (foglalkoztatást helyettesítő támogatás vagy rendszeres szociális segély) jogosult, vagy a kedvezmény igénylésének időpontját megelőző 16 hónapon belül legalább 12 hónapig álláskeresőként tartotta nyilván a munkaügyi központ (alacsony foglalkoztatottság, melynek fennállását az eljáró hatóság ellenőrzi),</w:t>
      </w:r>
    </w:p>
    <w:p>
      <w:pPr>
        <w:pStyle w:val="Normal"/>
        <w:ind w:left="284" w:hanging="284"/>
        <w:jc w:val="both"/>
        <w:rPr/>
      </w:pPr>
      <w:r>
        <w:rPr>
          <w:rFonts w:eastAsia="Times New Roman"/>
          <w:szCs w:val="24"/>
          <w:lang w:eastAsia="hu-HU"/>
        </w:rPr>
        <w:t>c.) a gyermek szegregátumnak nyilvánított lakókörnyezetben, vagy az eljárás során felvett környezettanulmány szerint félkomfortos, komfort nélküli vagy szükséglakásban, illetve olyan lakáskörülmények között él, ahol korlátozottan biztosítottak az egészséges fejlődéshez szükséges feltételek (elégtelen lakókörnyezet, illetve lakáskörülmények).</w:t>
      </w:r>
    </w:p>
    <w:p>
      <w:pPr>
        <w:pStyle w:val="Normal"/>
        <w:jc w:val="both"/>
        <w:rPr>
          <w:rFonts w:eastAsia="Times New Roman"/>
          <w:b/>
          <w:b/>
          <w:szCs w:val="24"/>
          <w:lang w:eastAsia="hu-HU"/>
        </w:rPr>
      </w:pPr>
      <w:r>
        <w:rPr>
          <w:rFonts w:eastAsia="Times New Roman"/>
          <w:b/>
          <w:szCs w:val="24"/>
          <w:lang w:eastAsia="hu-HU"/>
        </w:rPr>
      </w:r>
    </w:p>
    <w:p>
      <w:pPr>
        <w:pStyle w:val="Normal"/>
        <w:jc w:val="both"/>
        <w:rPr>
          <w:rFonts w:eastAsia="Times New Roman"/>
          <w:b/>
          <w:b/>
          <w:szCs w:val="24"/>
          <w:lang w:eastAsia="hu-HU"/>
        </w:rPr>
      </w:pPr>
      <w:r>
        <w:rPr>
          <w:rFonts w:eastAsia="Times New Roman"/>
          <w:b/>
          <w:szCs w:val="24"/>
          <w:lang w:eastAsia="hu-HU"/>
        </w:rPr>
      </w:r>
    </w:p>
    <w:p>
      <w:pPr>
        <w:pStyle w:val="Normal"/>
        <w:jc w:val="both"/>
        <w:rPr/>
      </w:pPr>
      <w:r>
        <w:rPr>
          <w:rFonts w:eastAsia="Times New Roman"/>
          <w:b/>
          <w:szCs w:val="24"/>
          <w:lang w:eastAsia="hu-HU"/>
        </w:rPr>
        <w:t>Halmozottan hátrányos helyzetű gyermek:</w:t>
      </w:r>
      <w:r>
        <w:rPr>
          <w:rFonts w:eastAsia="Times New Roman"/>
          <w:szCs w:val="24"/>
          <w:lang w:eastAsia="hu-HU"/>
        </w:rPr>
        <w:t xml:space="preserve"> az a rendszeres gyermekvédelmi kedvezményre jogosult gyermek, aki esetében a fenti három körülmény közül </w:t>
      </w:r>
      <w:r>
        <w:rPr>
          <w:rFonts w:eastAsia="Times New Roman"/>
          <w:b/>
          <w:szCs w:val="24"/>
          <w:lang w:eastAsia="hu-HU"/>
        </w:rPr>
        <w:t>legalább kettő</w:t>
      </w:r>
      <w:r>
        <w:rPr>
          <w:rFonts w:eastAsia="Times New Roman"/>
          <w:szCs w:val="24"/>
          <w:lang w:eastAsia="hu-HU"/>
        </w:rPr>
        <w:t xml:space="preserve"> </w:t>
      </w:r>
      <w:r>
        <w:rPr>
          <w:rFonts w:eastAsia="Times New Roman"/>
          <w:b/>
          <w:szCs w:val="24"/>
          <w:lang w:eastAsia="hu-HU"/>
        </w:rPr>
        <w:t>fennáll.</w:t>
      </w:r>
      <w:r>
        <w:rPr>
          <w:rFonts w:eastAsia="Times New Roman"/>
          <w:szCs w:val="24"/>
          <w:lang w:eastAsia="hu-HU"/>
        </w:rPr>
        <w:t xml:space="preserve"> </w:t>
      </w:r>
    </w:p>
    <w:p>
      <w:pPr>
        <w:pStyle w:val="Normal"/>
        <w:jc w:val="both"/>
        <w:rPr>
          <w:rFonts w:eastAsia="Times New Roman"/>
          <w:b/>
          <w:b/>
          <w:szCs w:val="24"/>
          <w:lang w:eastAsia="hu-HU"/>
        </w:rPr>
      </w:pPr>
      <w:r>
        <w:rPr>
          <w:rFonts w:eastAsia="Times New Roman"/>
          <w:b/>
          <w:szCs w:val="24"/>
          <w:lang w:eastAsia="hu-HU"/>
        </w:rPr>
      </w:r>
    </w:p>
    <w:p>
      <w:pPr>
        <w:pStyle w:val="Normal"/>
        <w:jc w:val="both"/>
        <w:rPr/>
      </w:pPr>
      <w:r>
        <w:rPr>
          <w:rFonts w:eastAsia="Times New Roman"/>
          <w:szCs w:val="24"/>
          <w:lang w:eastAsia="hu-HU"/>
        </w:rPr>
        <w:t xml:space="preserve">Településünkön 2017. szeptember 01-jén fennálló jogosultság szerint a 225 jogosultból 162 fő esetében áll fenn a hátrányos helyzet. Közülük 25 fő halmozottan hátrányos helyzetű. 17 fő nagykorú, fiatal felnőtt esetében 10 fő hátrányos helyzetű, 2 fő pedig halmozottan hátrányos helyzetű. Erről minden esetben gyermekenként külön határozattal kell dönteni. </w:t>
      </w:r>
    </w:p>
    <w:p>
      <w:pPr>
        <w:pStyle w:val="Normal"/>
        <w:jc w:val="both"/>
        <w:rPr>
          <w:rFonts w:eastAsia="Times New Roman"/>
          <w:szCs w:val="24"/>
          <w:lang w:eastAsia="hu-HU"/>
        </w:rPr>
      </w:pPr>
      <w:r>
        <w:rPr>
          <w:rFonts w:eastAsia="Times New Roman"/>
          <w:szCs w:val="24"/>
          <w:lang w:eastAsia="hu-HU"/>
        </w:rPr>
      </w:r>
    </w:p>
    <w:p>
      <w:pPr>
        <w:pStyle w:val="Normal"/>
        <w:jc w:val="both"/>
        <w:rPr>
          <w:rFonts w:eastAsia="Times New Roman"/>
          <w:szCs w:val="24"/>
          <w:lang w:eastAsia="hu-HU"/>
        </w:rPr>
      </w:pPr>
      <w:r>
        <w:rPr>
          <w:rFonts w:eastAsia="Times New Roman"/>
          <w:szCs w:val="24"/>
          <w:lang w:eastAsia="hu-HU"/>
        </w:rPr>
      </w:r>
    </w:p>
    <w:p>
      <w:pPr>
        <w:pStyle w:val="Normal"/>
        <w:spacing w:before="0" w:after="0"/>
        <w:contextualSpacing/>
        <w:jc w:val="both"/>
        <w:rPr>
          <w:u w:val="none"/>
        </w:rPr>
      </w:pPr>
      <w:r>
        <w:rPr>
          <w:rFonts w:eastAsia="Times New Roman"/>
          <w:b/>
          <w:szCs w:val="24"/>
          <w:u w:val="none"/>
          <w:lang w:eastAsia="hu-HU"/>
        </w:rPr>
        <w:t>Védendő fogyasztói igazolás kiállítása</w:t>
      </w:r>
    </w:p>
    <w:p>
      <w:pPr>
        <w:pStyle w:val="Normal"/>
        <w:spacing w:before="0" w:after="0"/>
        <w:contextualSpacing/>
        <w:jc w:val="both"/>
        <w:rPr>
          <w:rFonts w:eastAsia="Times New Roman"/>
          <w:szCs w:val="24"/>
          <w:lang w:eastAsia="hu-HU"/>
        </w:rPr>
      </w:pPr>
      <w:r>
        <w:rPr>
          <w:rFonts w:eastAsia="Times New Roman"/>
          <w:szCs w:val="24"/>
          <w:lang w:eastAsia="hu-HU"/>
        </w:rPr>
      </w:r>
    </w:p>
    <w:p>
      <w:pPr>
        <w:pStyle w:val="Normal"/>
        <w:spacing w:before="0" w:after="0"/>
        <w:contextualSpacing/>
        <w:jc w:val="both"/>
        <w:rPr/>
      </w:pPr>
      <w:r>
        <w:rPr>
          <w:rFonts w:eastAsia="Times New Roman"/>
          <w:szCs w:val="24"/>
          <w:lang w:eastAsia="hu-HU"/>
        </w:rPr>
        <w:t xml:space="preserve">Az év eleje óta 2017. szeptember 01-ig kiállított védendő fogyasztói igazolások száma 60 db. </w:t>
      </w:r>
    </w:p>
    <w:p>
      <w:pPr>
        <w:pStyle w:val="Normal"/>
        <w:spacing w:before="0" w:after="0"/>
        <w:contextualSpacing/>
        <w:jc w:val="both"/>
        <w:rPr>
          <w:rFonts w:eastAsia="Calibri"/>
          <w:b/>
          <w:b/>
          <w:szCs w:val="24"/>
          <w:u w:val="single"/>
        </w:rPr>
      </w:pPr>
      <w:r>
        <w:rPr>
          <w:rFonts w:eastAsia="Calibri"/>
          <w:b/>
          <w:szCs w:val="24"/>
          <w:u w:val="single"/>
        </w:rPr>
      </w:r>
    </w:p>
    <w:p>
      <w:pPr>
        <w:pStyle w:val="Normal"/>
        <w:spacing w:before="0" w:after="0"/>
        <w:contextualSpacing/>
        <w:jc w:val="both"/>
        <w:rPr>
          <w:rFonts w:eastAsia="Calibri"/>
          <w:b/>
          <w:b/>
          <w:szCs w:val="24"/>
          <w:u w:val="single"/>
        </w:rPr>
      </w:pPr>
      <w:r>
        <w:rPr>
          <w:rFonts w:eastAsia="Calibri"/>
          <w:b/>
          <w:szCs w:val="24"/>
          <w:u w:val="single"/>
        </w:rPr>
      </w:r>
    </w:p>
    <w:p>
      <w:pPr>
        <w:pStyle w:val="Normal"/>
        <w:spacing w:lineRule="auto" w:line="259"/>
        <w:jc w:val="both"/>
        <w:rPr>
          <w:u w:val="none"/>
        </w:rPr>
      </w:pPr>
      <w:r>
        <w:rPr>
          <w:rFonts w:eastAsia="Calibri"/>
          <w:b/>
          <w:szCs w:val="24"/>
          <w:u w:val="none"/>
        </w:rPr>
        <w:t>Környezettanulmányok lefolytatása</w:t>
      </w:r>
    </w:p>
    <w:p>
      <w:pPr>
        <w:pStyle w:val="Normal"/>
        <w:jc w:val="both"/>
        <w:rPr>
          <w:rFonts w:eastAsia="Calibri"/>
          <w:szCs w:val="24"/>
        </w:rPr>
      </w:pPr>
      <w:r>
        <w:rPr>
          <w:rFonts w:eastAsia="Calibri"/>
          <w:szCs w:val="24"/>
        </w:rPr>
      </w:r>
    </w:p>
    <w:p>
      <w:pPr>
        <w:pStyle w:val="Normal"/>
        <w:jc w:val="both"/>
        <w:rPr/>
      </w:pPr>
      <w:r>
        <w:rPr/>
        <w:t>Társhatóságok felkérésére 2017. szeptember 01-ig 14 alkalommal készült környezettanulmány, elsősorban gondnokság alatt álló személyek és/vagy családok élet- és lakhatási körülményeit illetően.</w:t>
      </w:r>
    </w:p>
    <w:p>
      <w:pPr>
        <w:pStyle w:val="Normal"/>
        <w:jc w:val="both"/>
        <w:rPr>
          <w:rFonts w:eastAsia="Times New Roman"/>
          <w:szCs w:val="24"/>
          <w:lang w:eastAsia="hu-HU"/>
        </w:rPr>
      </w:pPr>
      <w:r>
        <w:rPr>
          <w:rFonts w:eastAsia="Times New Roman"/>
          <w:szCs w:val="24"/>
          <w:lang w:eastAsia="hu-HU"/>
        </w:rPr>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b/>
          <w:szCs w:val="24"/>
          <w:u w:val="none"/>
          <w:lang w:eastAsia="hu-HU"/>
        </w:rPr>
        <w:t>Temetési segély</w:t>
      </w:r>
    </w:p>
    <w:p>
      <w:pPr>
        <w:pStyle w:val="Normal"/>
        <w:jc w:val="both"/>
        <w:rPr>
          <w:rFonts w:eastAsia="Times New Roman"/>
          <w:b/>
          <w:b/>
          <w:szCs w:val="24"/>
          <w:lang w:eastAsia="hu-HU"/>
        </w:rPr>
      </w:pPr>
      <w:r>
        <w:rPr>
          <w:rFonts w:eastAsia="Times New Roman"/>
          <w:b/>
          <w:szCs w:val="24"/>
          <w:lang w:eastAsia="hu-HU"/>
        </w:rPr>
      </w:r>
    </w:p>
    <w:p>
      <w:pPr>
        <w:pStyle w:val="Normal"/>
        <w:spacing w:lineRule="auto" w:line="259"/>
        <w:jc w:val="both"/>
        <w:rPr/>
      </w:pPr>
      <w:r>
        <w:rPr>
          <w:rFonts w:eastAsia="Times New Roman"/>
          <w:szCs w:val="24"/>
          <w:lang w:eastAsia="hu-HU"/>
        </w:rPr>
        <w:t>2017. szeptember 01-ig 11 fő részére lett megállapítva temetési segély, 224.410 Ft összegben</w:t>
      </w:r>
    </w:p>
    <w:p>
      <w:pPr>
        <w:pStyle w:val="Normal"/>
        <w:spacing w:lineRule="auto" w:line="259"/>
        <w:jc w:val="both"/>
        <w:rPr>
          <w:rFonts w:eastAsia="Calibri"/>
          <w:b/>
          <w:b/>
          <w:szCs w:val="24"/>
          <w:lang w:eastAsia="hu-HU"/>
        </w:rPr>
      </w:pPr>
      <w:r>
        <w:rPr>
          <w:rFonts w:eastAsia="Calibri"/>
          <w:b/>
          <w:szCs w:val="24"/>
          <w:lang w:eastAsia="hu-HU"/>
        </w:rPr>
      </w:r>
    </w:p>
    <w:p>
      <w:pPr>
        <w:pStyle w:val="Normal"/>
        <w:spacing w:lineRule="auto" w:line="259"/>
        <w:jc w:val="both"/>
        <w:rPr>
          <w:rFonts w:eastAsia="Calibri"/>
          <w:b/>
          <w:b/>
          <w:szCs w:val="24"/>
          <w:lang w:eastAsia="hu-HU"/>
        </w:rPr>
      </w:pPr>
      <w:r>
        <w:rPr>
          <w:rFonts w:eastAsia="Calibri"/>
          <w:b/>
          <w:szCs w:val="24"/>
          <w:lang w:eastAsia="hu-HU"/>
        </w:rPr>
      </w:r>
    </w:p>
    <w:p>
      <w:pPr>
        <w:pStyle w:val="Normal"/>
        <w:spacing w:lineRule="auto" w:line="259"/>
        <w:rPr>
          <w:u w:val="none"/>
        </w:rPr>
      </w:pPr>
      <w:r>
        <w:rPr>
          <w:b/>
          <w:szCs w:val="24"/>
          <w:u w:val="none"/>
        </w:rPr>
        <w:t>A gyermekek nyári szünetben történő napközbeni ellátásának biztosítása</w:t>
      </w:r>
    </w:p>
    <w:p>
      <w:pPr>
        <w:pStyle w:val="Normal"/>
        <w:spacing w:lineRule="auto" w:line="259"/>
        <w:rPr>
          <w:rFonts w:eastAsia="Calibri"/>
          <w:b/>
          <w:b/>
          <w:szCs w:val="24"/>
        </w:rPr>
      </w:pPr>
      <w:r>
        <w:rPr>
          <w:rFonts w:eastAsia="Calibri"/>
          <w:b/>
          <w:szCs w:val="24"/>
        </w:rPr>
      </w:r>
    </w:p>
    <w:p>
      <w:pPr>
        <w:pStyle w:val="Normal"/>
        <w:spacing w:lineRule="auto" w:line="259"/>
        <w:jc w:val="both"/>
        <w:rPr/>
      </w:pPr>
      <w:r>
        <w:rPr>
          <w:szCs w:val="24"/>
        </w:rPr>
        <w:t xml:space="preserve">A tanév végével (2017. június 15.), a szorgalmi idő lejáratát követően az iskolai oktatás és ezzel egyidejűleg a napközis csoportok is beszüntették tevékenységüket. A 2017. év nyári szünetben a Gádorosi Nyári Napközi a gádorosi Kossuth utca 17. szám alatti épületben, 2017. június 26. napjától augusztus 31. napjáig került megszervezésre. Augusztus 1-től, nemcsak az iskoláskorú, hanem az óvoda zárva tartásának ideje alatt, a felvételt kérő óvodás korú gyermekek felügyelete is megvalósult. A napközbeni ellátás ideje munkanapokon reggel 6.45-től délután 16.00 óráig tartott. A létszám </w:t>
      </w:r>
      <w:r>
        <w:rPr/>
        <w:t xml:space="preserve">átlagosan 18 fő volt. </w:t>
      </w:r>
    </w:p>
    <w:p>
      <w:pPr>
        <w:pStyle w:val="Normal"/>
        <w:spacing w:lineRule="auto" w:line="259"/>
        <w:jc w:val="both"/>
        <w:rPr>
          <w:szCs w:val="24"/>
        </w:rPr>
      </w:pPr>
      <w:r>
        <w:rPr>
          <w:szCs w:val="24"/>
        </w:rPr>
      </w:r>
    </w:p>
    <w:p>
      <w:pPr>
        <w:pStyle w:val="Normal"/>
        <w:spacing w:lineRule="auto" w:line="259"/>
        <w:jc w:val="both"/>
        <w:rPr/>
      </w:pPr>
      <w:r>
        <w:rPr>
          <w:szCs w:val="24"/>
        </w:rPr>
        <w:t xml:space="preserve">A Gádorosi Nyári Napközit igénybevevő gyermekek felügyeletét 1 fő, pedagógus végzettséggel rendelkező személy, valamint 2 fő kisegítő személy látta el. A Gádorosi Nyári Napköziben a gyermekek étkeztetése napi háromszor valósult meg, és a Kossuth utca 17. szám alatti épületben még a gyermekek déli meleg főétkezését is lehetett biztosítani a szerződéssel rendelkező Fejes Bt. konyha által. </w:t>
      </w:r>
    </w:p>
    <w:p>
      <w:pPr>
        <w:pStyle w:val="Normal"/>
        <w:rPr>
          <w:szCs w:val="24"/>
        </w:rPr>
      </w:pPr>
      <w:r>
        <w:rPr>
          <w:szCs w:val="24"/>
        </w:rPr>
      </w:r>
    </w:p>
    <w:p>
      <w:pPr>
        <w:pStyle w:val="Normal"/>
        <w:jc w:val="both"/>
        <w:rPr/>
      </w:pPr>
      <w:r>
        <w:rPr>
          <w:szCs w:val="24"/>
        </w:rPr>
        <w:t xml:space="preserve">A különböző programok megvalósításához a Gádorosi Roma Nemzetiségi Önkormányzat is jelentős támogatást nyújtott, mivel az előző nyári időszakról rendelkezésükre álltak fejlesztő eszközök, játékok, amelyeket a program megvalósításához a rendelkezésre bocsátottak. Emellett a </w:t>
      </w:r>
      <w:r>
        <w:rPr/>
        <w:t>gádorosi Roma Nemzetiségi Önkormán</w:t>
      </w:r>
      <w:bookmarkStart w:id="1" w:name="_GoBack2"/>
      <w:bookmarkEnd w:id="1"/>
      <w:r>
        <w:rPr/>
        <w:t>yzat elnökeként, Farkas Zita személyes munkaerejével, önkéntes alapon, minden nap részt vett a munka lebonyolításában, illetve szinte napi szinten próbálta megvalósítani a gyermekek számára a szociális érzékenyítő programok lebonyolítását. Főbb témakörök a nemzetiségi (roma), a nemzeti sokszínűség, és a hátrányos helyzetű gyermekek segítése, elfogadása voltak (pl. a szegénység nem bűn).</w:t>
      </w:r>
    </w:p>
    <w:p>
      <w:pPr>
        <w:pStyle w:val="Normal"/>
        <w:jc w:val="both"/>
        <w:rPr/>
      </w:pPr>
      <w:r>
        <w:rPr/>
      </w:r>
    </w:p>
    <w:p>
      <w:pPr>
        <w:pStyle w:val="Normal"/>
        <w:jc w:val="both"/>
        <w:rPr>
          <w:rFonts w:eastAsia="Times New Roman"/>
          <w:szCs w:val="24"/>
          <w:lang w:eastAsia="hu-HU"/>
        </w:rPr>
      </w:pPr>
      <w:r>
        <w:rPr>
          <w:rFonts w:eastAsia="Times New Roman"/>
          <w:szCs w:val="24"/>
          <w:lang w:eastAsia="hu-HU"/>
        </w:rPr>
        <w:t>A nyári nappali gyermekfelügyelet működtetéséhez Gádoros Nagyközség Önkormányzata 100.000 Ft-tal, a Roma Nemzetiségi Önkormányzat pedig közel 150.000Ft-tal járult hozzá. Emellett a nyári napközi helyszínének alkalmassá tételében az ÁNTSZ-el való egyeztetésben a környezeti (pl. tisztítószereket), illetve az eszközi feltételeket is biztosította a Roma Nemzetiségi Önkormányzat.</w:t>
      </w:r>
    </w:p>
    <w:p>
      <w:pPr>
        <w:pStyle w:val="Normal"/>
        <w:jc w:val="both"/>
        <w:rPr>
          <w:rFonts w:eastAsia="Times New Roman"/>
          <w:szCs w:val="24"/>
          <w:lang w:eastAsia="hu-HU"/>
        </w:rPr>
      </w:pPr>
      <w:r>
        <w:rPr>
          <w:rFonts w:eastAsia="Times New Roman"/>
          <w:szCs w:val="24"/>
          <w:lang w:eastAsia="hu-HU"/>
        </w:rPr>
      </w:r>
    </w:p>
    <w:p>
      <w:pPr>
        <w:pStyle w:val="Normal"/>
        <w:jc w:val="both"/>
        <w:rPr>
          <w:rFonts w:eastAsia="Times New Roman"/>
          <w:szCs w:val="24"/>
          <w:lang w:eastAsia="hu-HU"/>
        </w:rPr>
      </w:pPr>
      <w:r>
        <w:rPr>
          <w:rFonts w:eastAsia="Times New Roman"/>
          <w:szCs w:val="24"/>
          <w:lang w:eastAsia="hu-HU"/>
        </w:rPr>
      </w:r>
    </w:p>
    <w:p>
      <w:pPr>
        <w:pStyle w:val="Normal"/>
        <w:spacing w:lineRule="auto" w:line="259"/>
        <w:jc w:val="both"/>
        <w:rPr>
          <w:u w:val="none"/>
        </w:rPr>
      </w:pPr>
      <w:r>
        <w:rPr>
          <w:rFonts w:eastAsia="Calibri"/>
          <w:b/>
          <w:szCs w:val="24"/>
          <w:u w:val="none"/>
        </w:rPr>
        <w:t>Hatósági bizonyítvány</w:t>
      </w:r>
    </w:p>
    <w:p>
      <w:pPr>
        <w:pStyle w:val="Normal"/>
        <w:jc w:val="both"/>
        <w:rPr>
          <w:rFonts w:eastAsia="Calibri"/>
          <w:szCs w:val="24"/>
        </w:rPr>
      </w:pPr>
      <w:r>
        <w:rPr>
          <w:rFonts w:eastAsia="Calibri"/>
          <w:szCs w:val="24"/>
        </w:rPr>
      </w:r>
    </w:p>
    <w:p>
      <w:pPr>
        <w:pStyle w:val="Normal"/>
        <w:jc w:val="both"/>
        <w:rPr/>
      </w:pPr>
      <w:r>
        <w:rPr>
          <w:rFonts w:eastAsia="Calibri"/>
          <w:szCs w:val="24"/>
        </w:rPr>
        <w:t>Hatósági bizonyítvány kiállítására az ügyfél kérése alapján kerül sor. Az idei évben élettársi kapcsolat bizonyítása, illetve földterület megművelésének igazolása céljából kerültek kiállításra hatósági bizonyítványok. 2017. szeptember 01-ig 2 alkalommal került sor hatósági bizonyítvány kiállítására.</w:t>
      </w:r>
    </w:p>
    <w:p>
      <w:pPr>
        <w:pStyle w:val="Normal"/>
        <w:jc w:val="both"/>
        <w:rPr>
          <w:rFonts w:eastAsia="Calibri"/>
          <w:b/>
          <w:b/>
          <w:szCs w:val="24"/>
        </w:rPr>
      </w:pPr>
      <w:r>
        <w:rPr>
          <w:rFonts w:eastAsia="Calibri"/>
          <w:b/>
          <w:szCs w:val="24"/>
        </w:rPr>
      </w:r>
    </w:p>
    <w:p>
      <w:pPr>
        <w:pStyle w:val="Normal"/>
        <w:jc w:val="both"/>
        <w:rPr>
          <w:rFonts w:eastAsia="Calibri"/>
          <w:szCs w:val="24"/>
        </w:rPr>
      </w:pPr>
      <w:r>
        <w:rPr>
          <w:rFonts w:eastAsia="Calibri"/>
          <w:szCs w:val="24"/>
        </w:rPr>
      </w:r>
    </w:p>
    <w:p>
      <w:pPr>
        <w:pStyle w:val="Normal"/>
        <w:jc w:val="both"/>
        <w:rPr>
          <w:rFonts w:eastAsia="Times New Roman"/>
          <w:b/>
          <w:b/>
          <w:szCs w:val="24"/>
          <w:lang w:eastAsia="hu-HU"/>
        </w:rPr>
      </w:pPr>
      <w:r>
        <w:rPr>
          <w:rFonts w:eastAsia="Times New Roman"/>
          <w:b/>
          <w:szCs w:val="24"/>
          <w:lang w:eastAsia="hu-HU"/>
        </w:rPr>
        <w:t>Települési támogatás</w:t>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Az önkormányzati segélyezés továbbra is az egyik legtöbb munkával járó terület. 2015-ben jogszabályi változás is bekövetkezett. 2015. március 1-től az önkormányzat által adható segélyek összevonásra kerültek, és egy címszó alatt települési támogatásként folyósíthatók. Ide tartoznak az élelmiszerre, tüzelőre, gyógyszerre, lakhatáshoz kapcsolódó kiadásokra, rezsidíjra, egyéb megélhetési célokra megállapított támogatások. Ez évben eddig 318 esetben 1.066.993,- Ft került kifizetésre.</w:t>
      </w:r>
    </w:p>
    <w:p>
      <w:pPr>
        <w:pStyle w:val="Normal"/>
        <w:jc w:val="both"/>
        <w:rPr>
          <w:rFonts w:eastAsia="Times New Roman"/>
          <w:szCs w:val="24"/>
          <w:lang w:eastAsia="hu-HU"/>
        </w:rPr>
      </w:pPr>
      <w:r>
        <w:rPr>
          <w:rFonts w:eastAsia="Times New Roman"/>
          <w:szCs w:val="24"/>
          <w:lang w:eastAsia="hu-HU"/>
        </w:rPr>
      </w:r>
    </w:p>
    <w:p>
      <w:pPr>
        <w:pStyle w:val="Normal"/>
        <w:jc w:val="both"/>
        <w:rPr>
          <w:rFonts w:eastAsia="Times New Roman"/>
          <w:szCs w:val="24"/>
          <w:lang w:eastAsia="hu-HU"/>
        </w:rPr>
      </w:pPr>
      <w:r>
        <w:rPr>
          <w:rFonts w:eastAsia="Times New Roman"/>
          <w:szCs w:val="24"/>
          <w:lang w:eastAsia="hu-HU"/>
        </w:rPr>
      </w:r>
    </w:p>
    <w:p>
      <w:pPr>
        <w:pStyle w:val="Normal"/>
        <w:jc w:val="both"/>
        <w:rPr>
          <w:rFonts w:eastAsia="Times New Roman"/>
          <w:b/>
          <w:b/>
          <w:szCs w:val="24"/>
          <w:lang w:eastAsia="hu-HU"/>
        </w:rPr>
      </w:pPr>
      <w:r>
        <w:rPr>
          <w:rFonts w:eastAsia="Times New Roman"/>
          <w:b/>
          <w:szCs w:val="24"/>
          <w:lang w:eastAsia="hu-HU"/>
        </w:rPr>
        <w:t>Népességi adatok:</w:t>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A település lakosságszáma továbbra is csökken, jelenleg 3.758 fő állandó lakosa van Gádorosnak, ami a december 31-i létszámnál már 48-cal kevesebb.</w:t>
      </w:r>
    </w:p>
    <w:p>
      <w:pPr>
        <w:pStyle w:val="Normal"/>
        <w:jc w:val="both"/>
        <w:rPr>
          <w:rFonts w:eastAsia="Times New Roman"/>
          <w:szCs w:val="24"/>
          <w:lang w:eastAsia="hu-HU"/>
        </w:rPr>
      </w:pPr>
      <w:r>
        <w:rPr>
          <w:rFonts w:eastAsia="Times New Roman"/>
          <w:szCs w:val="24"/>
          <w:lang w:eastAsia="hu-HU"/>
        </w:rPr>
      </w:r>
    </w:p>
    <w:p>
      <w:pPr>
        <w:pStyle w:val="Normal"/>
        <w:jc w:val="both"/>
        <w:rPr>
          <w:rFonts w:eastAsia="Times New Roman"/>
          <w:szCs w:val="24"/>
          <w:lang w:eastAsia="hu-HU"/>
        </w:rPr>
      </w:pPr>
      <w:r>
        <w:rPr>
          <w:rFonts w:eastAsia="Times New Roman"/>
          <w:szCs w:val="24"/>
          <w:lang w:eastAsia="hu-HU"/>
        </w:rPr>
      </w:r>
    </w:p>
    <w:p>
      <w:pPr>
        <w:pStyle w:val="Normal"/>
        <w:jc w:val="both"/>
        <w:rPr>
          <w:rFonts w:eastAsia="Times New Roman"/>
          <w:b/>
          <w:b/>
          <w:szCs w:val="24"/>
          <w:lang w:eastAsia="hu-HU"/>
        </w:rPr>
      </w:pPr>
      <w:r>
        <w:rPr>
          <w:rFonts w:eastAsia="Times New Roman"/>
          <w:b/>
          <w:szCs w:val="24"/>
          <w:lang w:eastAsia="hu-HU"/>
        </w:rPr>
        <w:t>Hagyatéki ügyek:</w:t>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A hagyatéki ügyek intézése során 2016-ban 102, míg ebben az évben ezideig 78 ügyben kellett intézkedni. Ez többek között a hagyatéki leltár felvételét, végzéssel történő adatkérést, valamint adatszolgáltatást foglal magában gyakran évekkel korábbi adatokra vonatkozóan.</w:t>
      </w:r>
    </w:p>
    <w:p>
      <w:pPr>
        <w:pStyle w:val="Normal"/>
        <w:jc w:val="both"/>
        <w:rPr>
          <w:rFonts w:eastAsia="Calibri"/>
          <w:szCs w:val="24"/>
        </w:rPr>
      </w:pPr>
      <w:r>
        <w:rPr>
          <w:rFonts w:eastAsia="Calibri"/>
          <w:szCs w:val="24"/>
        </w:rPr>
      </w:r>
    </w:p>
    <w:p>
      <w:pPr>
        <w:pStyle w:val="Normal"/>
        <w:jc w:val="both"/>
        <w:rPr>
          <w:rFonts w:eastAsia="Calibri"/>
          <w:szCs w:val="24"/>
        </w:rPr>
      </w:pPr>
      <w:r>
        <w:rPr>
          <w:rFonts w:eastAsia="Calibri"/>
          <w:szCs w:val="24"/>
        </w:rPr>
      </w:r>
    </w:p>
    <w:p>
      <w:pPr>
        <w:pStyle w:val="Normal"/>
        <w:jc w:val="both"/>
        <w:rPr/>
      </w:pPr>
      <w:r>
        <w:rPr>
          <w:rFonts w:eastAsia="Calibri"/>
          <w:b/>
          <w:szCs w:val="24"/>
        </w:rPr>
        <w:t>Ügyvitel, iktatás:</w:t>
      </w:r>
    </w:p>
    <w:p>
      <w:pPr>
        <w:pStyle w:val="Normal"/>
        <w:jc w:val="both"/>
        <w:rPr>
          <w:rFonts w:eastAsia="Calibri"/>
          <w:b/>
          <w:b/>
          <w:szCs w:val="24"/>
        </w:rPr>
      </w:pPr>
      <w:r>
        <w:rPr>
          <w:rFonts w:eastAsia="Calibri"/>
          <w:b/>
          <w:szCs w:val="24"/>
        </w:rPr>
      </w:r>
    </w:p>
    <w:p>
      <w:pPr>
        <w:pStyle w:val="Normal"/>
        <w:spacing w:lineRule="auto" w:line="240"/>
        <w:jc w:val="both"/>
        <w:rPr/>
      </w:pPr>
      <w:r>
        <w:rPr>
          <w:sz w:val="24"/>
          <w:szCs w:val="24"/>
        </w:rPr>
        <w:t>A gépi iktatás 2002-ben került bevezetésre, addig iktatókönyvbe kézzel, tollal írva történt az iktatás.</w:t>
      </w:r>
    </w:p>
    <w:p>
      <w:pPr>
        <w:pStyle w:val="Normal"/>
        <w:spacing w:lineRule="auto" w:line="240"/>
        <w:jc w:val="both"/>
        <w:rPr>
          <w:sz w:val="24"/>
          <w:szCs w:val="24"/>
        </w:rPr>
      </w:pPr>
      <w:r>
        <w:rPr>
          <w:sz w:val="24"/>
          <w:szCs w:val="24"/>
        </w:rPr>
      </w:r>
    </w:p>
    <w:p>
      <w:pPr>
        <w:pStyle w:val="Normal"/>
        <w:spacing w:lineRule="auto" w:line="240"/>
        <w:jc w:val="both"/>
        <w:rPr/>
      </w:pPr>
      <w:r>
        <w:rPr>
          <w:sz w:val="24"/>
          <w:szCs w:val="24"/>
        </w:rPr>
        <w:t>A bejövő /postán, faxon, e-mailben érkezett, személyesen behozott, a pultnál leadott/ ügyiratok szignálás után és a kimenő ügyiratok először iktatásra kerülnek. Az ügyiratok érkeztetése az iktatással egy időben, egyszerre történik, nem kell külön érkeztetni a gépben. A beiktatott ügyiratok előadói munkanaplóba írás után az ügyintézőkhöz kerülnek ügyintézésre. Az általános ügyintézési határidő 21 nap. A 2015. évi CLXXXVI. törvény 96. § (1) bekezdése ettől eltérően rendelkezik. 2016. január 01. napjától nyolc nap az ügyintézési határidő a sommás eljárás esetében. /sommás eljárás: rendszeres gyermekvédelmi kedvezménnyel kapcsolatos ügyek, települési támogatás ügyek/</w:t>
      </w:r>
    </w:p>
    <w:p>
      <w:pPr>
        <w:pStyle w:val="Normal"/>
        <w:spacing w:lineRule="auto" w:line="240"/>
        <w:jc w:val="both"/>
        <w:rPr>
          <w:sz w:val="24"/>
          <w:szCs w:val="24"/>
        </w:rPr>
      </w:pPr>
      <w:r>
        <w:rPr>
          <w:sz w:val="24"/>
          <w:szCs w:val="24"/>
        </w:rPr>
      </w:r>
    </w:p>
    <w:p>
      <w:pPr>
        <w:pStyle w:val="Normal"/>
        <w:spacing w:lineRule="auto" w:line="240"/>
        <w:jc w:val="both"/>
        <w:rPr/>
      </w:pPr>
      <w:r>
        <w:rPr>
          <w:sz w:val="24"/>
          <w:szCs w:val="24"/>
        </w:rPr>
        <w:t>Az elintézett ügyiratok visszakerülnek az iktatóba irattározásra. Az előadói munkanaplóból és a gépből való kivezetés után /ellenőrizve, hogy minden ügyiraton rajta van-e az irattári jel, a további intézkedés bélyegző, határozatnál plusz jogerőre bélyegző, adatlap ki van-e töltve, az elintézés dátuma megegyezik-e a további intézkedés dátumával és az adatlap dátumával/ év, ügyiratszám és irattári jel szerint sorba szedve kerülnek külön kötegelve az irattárba. Az ügyiratokat a gépi iktatás programmal /iktatószám, név, tárgy alapján/ könnyebb visszakeresni. Év közben vannak olyan ügyiratok, melyeket elő kell keresni az ügyintézőknek. Az ügyiratok irattári jel alapján kerülnek selejtezésre.</w:t>
      </w:r>
    </w:p>
    <w:p>
      <w:pPr>
        <w:pStyle w:val="Normal"/>
        <w:spacing w:lineRule="auto" w:line="240"/>
        <w:jc w:val="both"/>
        <w:rPr>
          <w:sz w:val="24"/>
          <w:szCs w:val="24"/>
        </w:rPr>
      </w:pPr>
      <w:r>
        <w:rPr>
          <w:sz w:val="24"/>
          <w:szCs w:val="24"/>
        </w:rPr>
      </w:r>
    </w:p>
    <w:p>
      <w:pPr>
        <w:pStyle w:val="Normal"/>
        <w:spacing w:lineRule="auto" w:line="240"/>
        <w:jc w:val="both"/>
        <w:rPr/>
      </w:pPr>
      <w:r>
        <w:rPr>
          <w:sz w:val="24"/>
          <w:szCs w:val="24"/>
        </w:rPr>
        <w:t xml:space="preserve">Irattározás során a határidős ügyiratok a határidőbe kerülnek /ezeken az ügyiratokon, előadói íveken az ügyintézők feltüntetik a határidő dátumát/. Ezt követően az ügyiratra írt határidő dátuma napján visszakerülnek az ügyiratok az ügyintézőkhöz további ügyintézés céljából. Ilyen esetben alszámot, év váltáskor pedig új főszámot kérnek az ügyintézők. </w:t>
      </w:r>
    </w:p>
    <w:p>
      <w:pPr>
        <w:pStyle w:val="Normal"/>
        <w:spacing w:lineRule="auto" w:line="240"/>
        <w:jc w:val="both"/>
        <w:rPr>
          <w:sz w:val="24"/>
          <w:szCs w:val="24"/>
        </w:rPr>
      </w:pPr>
      <w:r>
        <w:rPr>
          <w:sz w:val="24"/>
          <w:szCs w:val="24"/>
        </w:rPr>
      </w:r>
    </w:p>
    <w:p>
      <w:pPr>
        <w:pStyle w:val="Normal"/>
        <w:spacing w:lineRule="auto" w:line="240"/>
        <w:jc w:val="both"/>
        <w:rPr/>
      </w:pPr>
      <w:r>
        <w:rPr>
          <w:sz w:val="24"/>
          <w:szCs w:val="24"/>
        </w:rPr>
        <w:t>2011-től kell a tértivevényeket a gépben érkeztetni. A tértivevényes helyi levelek és a postán feladott tértivevényes levelek visszaérkezett tértivevényét egyenként kell érkeztetni. Az érkeztetési azonosítót és a dátumot a tértivevényre rá kell írni, a helyi leveleknél a leveles füzetbe is be kell írni.</w:t>
      </w:r>
    </w:p>
    <w:p>
      <w:pPr>
        <w:pStyle w:val="Normal"/>
        <w:spacing w:lineRule="auto" w:line="240"/>
        <w:jc w:val="both"/>
        <w:rPr/>
      </w:pPr>
      <w:r>
        <w:rPr>
          <w:sz w:val="24"/>
          <w:szCs w:val="24"/>
        </w:rPr>
        <w:t>A beírás után az ügyintézőkhöz kerülnek vissza a tértivevények.</w:t>
      </w:r>
    </w:p>
    <w:p>
      <w:pPr>
        <w:pStyle w:val="Normal"/>
        <w:spacing w:lineRule="auto" w:line="240"/>
        <w:jc w:val="both"/>
        <w:rPr>
          <w:sz w:val="24"/>
          <w:szCs w:val="24"/>
        </w:rPr>
      </w:pPr>
      <w:r>
        <w:rPr>
          <w:sz w:val="24"/>
          <w:szCs w:val="24"/>
        </w:rPr>
      </w:r>
    </w:p>
    <w:p>
      <w:pPr>
        <w:pStyle w:val="Normal"/>
        <w:spacing w:lineRule="auto" w:line="240"/>
        <w:jc w:val="both"/>
        <w:rPr/>
      </w:pPr>
      <w:r>
        <w:rPr>
          <w:sz w:val="24"/>
          <w:szCs w:val="24"/>
        </w:rPr>
        <w:t>2015-ben összesen 6.342 db ügyirat volt iktatva /ebből főszám 2.481 db, alszám 3.861 db/.</w:t>
      </w:r>
    </w:p>
    <w:p>
      <w:pPr>
        <w:pStyle w:val="Normal"/>
        <w:spacing w:lineRule="auto" w:line="240"/>
        <w:jc w:val="both"/>
        <w:rPr/>
      </w:pPr>
      <w:r>
        <w:rPr>
          <w:sz w:val="24"/>
          <w:szCs w:val="24"/>
        </w:rPr>
        <w:t>2016-ban összesen 5.643 db ügyirat volt iktatva /ebből főszám 3.611 db, alszám 2.032 db/.</w:t>
      </w:r>
    </w:p>
    <w:p>
      <w:pPr>
        <w:pStyle w:val="Normal"/>
        <w:spacing w:lineRule="auto" w:line="240"/>
        <w:jc w:val="both"/>
        <w:rPr/>
      </w:pPr>
      <w:r>
        <w:rPr>
          <w:sz w:val="24"/>
          <w:szCs w:val="24"/>
        </w:rPr>
        <w:t>2017. 09. 01-ig összesen 4.449 db ügyirat volt iktatva /ebből főszám 1669 db, alszám 2780 db/.</w:t>
      </w:r>
    </w:p>
    <w:p>
      <w:pPr>
        <w:pStyle w:val="Normal"/>
        <w:spacing w:lineRule="auto" w:line="240"/>
        <w:jc w:val="both"/>
        <w:rPr/>
      </w:pPr>
      <w:r>
        <w:rPr>
          <w:sz w:val="24"/>
          <w:szCs w:val="24"/>
        </w:rPr>
        <w:t>2017. 09. 01-ig az érkeztetési azonosító: 6.753 db /az iktatott ügyiratok száma és a tértivevények érkeztetése/.</w:t>
      </w:r>
    </w:p>
    <w:p>
      <w:pPr>
        <w:pStyle w:val="Normal"/>
        <w:spacing w:lineRule="auto" w:line="240"/>
        <w:jc w:val="both"/>
        <w:rPr>
          <w:sz w:val="24"/>
          <w:szCs w:val="24"/>
        </w:rPr>
      </w:pPr>
      <w:r>
        <w:rPr>
          <w:sz w:val="24"/>
          <w:szCs w:val="24"/>
        </w:rPr>
      </w:r>
    </w:p>
    <w:p>
      <w:pPr>
        <w:pStyle w:val="Normal"/>
        <w:spacing w:lineRule="auto" w:line="240"/>
        <w:jc w:val="both"/>
        <w:rPr/>
      </w:pPr>
      <w:r>
        <w:rPr>
          <w:sz w:val="24"/>
          <w:szCs w:val="24"/>
        </w:rPr>
        <w:t>Az ügyintézők a vidéki leveleket postázásra hozzák. Ezeket a leveleket /borítékokat lebélyegezve/ a megfelelő ragszámmal, tértivevénnyel, elsőbbségi jelzéssel, díjtétellel ellátva postakönyvbe be kell írni.</w:t>
      </w:r>
    </w:p>
    <w:p>
      <w:pPr>
        <w:pStyle w:val="Normal"/>
        <w:spacing w:lineRule="auto" w:line="240"/>
        <w:jc w:val="both"/>
        <w:rPr>
          <w:sz w:val="24"/>
          <w:szCs w:val="24"/>
        </w:rPr>
      </w:pPr>
      <w:r>
        <w:rPr>
          <w:sz w:val="24"/>
          <w:szCs w:val="24"/>
        </w:rPr>
      </w:r>
    </w:p>
    <w:p>
      <w:pPr>
        <w:pStyle w:val="Normal"/>
        <w:spacing w:lineRule="auto" w:line="240"/>
        <w:jc w:val="both"/>
        <w:rPr>
          <w:sz w:val="24"/>
          <w:szCs w:val="24"/>
        </w:rPr>
      </w:pPr>
      <w:r>
        <w:rPr>
          <w:sz w:val="24"/>
          <w:szCs w:val="24"/>
        </w:rPr>
      </w:r>
    </w:p>
    <w:p>
      <w:pPr>
        <w:pStyle w:val="Normal"/>
        <w:spacing w:lineRule="auto" w:line="240"/>
        <w:jc w:val="both"/>
        <w:rPr>
          <w:sz w:val="24"/>
          <w:szCs w:val="24"/>
        </w:rPr>
      </w:pPr>
      <w:r>
        <w:rPr>
          <w:rFonts w:eastAsia="Calibri"/>
          <w:b/>
          <w:sz w:val="24"/>
          <w:szCs w:val="24"/>
        </w:rPr>
        <w:t>Köztemetés:</w:t>
      </w:r>
    </w:p>
    <w:p>
      <w:pPr>
        <w:pStyle w:val="Normal"/>
        <w:spacing w:lineRule="auto" w:line="240"/>
        <w:jc w:val="both"/>
        <w:rPr>
          <w:rFonts w:eastAsia="Calibri"/>
          <w:b/>
          <w:b/>
        </w:rPr>
      </w:pPr>
      <w:r>
        <w:rPr>
          <w:rFonts w:eastAsia="Calibri"/>
          <w:b/>
        </w:rPr>
      </w:r>
    </w:p>
    <w:p>
      <w:pPr>
        <w:pStyle w:val="Normal"/>
        <w:spacing w:lineRule="auto" w:line="240"/>
        <w:jc w:val="both"/>
        <w:rPr/>
      </w:pPr>
      <w:r>
        <w:rPr>
          <w:sz w:val="24"/>
          <w:szCs w:val="24"/>
        </w:rPr>
        <w:t>2015-ben összesen 6 fő hozzátartozó kért köztemetést, melynek összege 580.846.- Ft.</w:t>
      </w:r>
    </w:p>
    <w:p>
      <w:pPr>
        <w:pStyle w:val="Normal"/>
        <w:spacing w:lineRule="auto" w:line="240"/>
        <w:jc w:val="both"/>
        <w:rPr/>
      </w:pPr>
      <w:r>
        <w:rPr>
          <w:sz w:val="24"/>
          <w:szCs w:val="24"/>
        </w:rPr>
        <w:t>2016-ban összesen 6 fő hozzátartozó kért köztemetést, melynek összege 572.772.- Ft.</w:t>
      </w:r>
    </w:p>
    <w:p>
      <w:pPr>
        <w:pStyle w:val="Normal"/>
        <w:spacing w:lineRule="auto" w:line="240"/>
        <w:jc w:val="both"/>
        <w:rPr/>
      </w:pPr>
      <w:r>
        <w:rPr>
          <w:sz w:val="24"/>
          <w:szCs w:val="24"/>
        </w:rPr>
        <w:t>2017. 09. 01-ig összesen 5 fő hozzátartozó kért köztemetést, melynek összege 513.731.- Ft.</w:t>
      </w:r>
    </w:p>
    <w:p>
      <w:pPr>
        <w:pStyle w:val="Normal"/>
        <w:spacing w:lineRule="auto" w:line="240"/>
        <w:jc w:val="both"/>
        <w:rPr>
          <w:sz w:val="24"/>
          <w:szCs w:val="24"/>
        </w:rPr>
      </w:pPr>
      <w:r>
        <w:rPr>
          <w:sz w:val="24"/>
          <w:szCs w:val="24"/>
        </w:rPr>
      </w:r>
    </w:p>
    <w:p>
      <w:pPr>
        <w:pStyle w:val="Normal"/>
        <w:spacing w:lineRule="auto" w:line="240"/>
        <w:jc w:val="both"/>
        <w:rPr/>
      </w:pPr>
      <w:r>
        <w:rPr>
          <w:sz w:val="24"/>
          <w:szCs w:val="24"/>
        </w:rPr>
        <w:t>A telefonközpont kezelése. A bejövő hívások egy része a 68/490-001-es számra jön. A hívások kapcsolása a kért ügyintézőkhöz. A faxok fogadása, iktatás előtt szignálásra vinni, esetleg rögtön az ügyintézőhöz továbbítani. Az ügyfélnek faxolni.</w:t>
      </w:r>
    </w:p>
    <w:p>
      <w:pPr>
        <w:pStyle w:val="Normal"/>
        <w:spacing w:lineRule="auto" w:line="240"/>
        <w:jc w:val="both"/>
        <w:rPr>
          <w:sz w:val="24"/>
          <w:szCs w:val="24"/>
        </w:rPr>
      </w:pPr>
      <w:r>
        <w:rPr>
          <w:sz w:val="24"/>
          <w:szCs w:val="24"/>
        </w:rPr>
      </w:r>
    </w:p>
    <w:p>
      <w:pPr>
        <w:pStyle w:val="Normal"/>
        <w:spacing w:lineRule="auto" w:line="240"/>
        <w:jc w:val="both"/>
        <w:rPr/>
      </w:pPr>
      <w:r>
        <w:rPr>
          <w:sz w:val="24"/>
          <w:szCs w:val="24"/>
        </w:rPr>
        <w:t>Fénymásolás. A beiktatott ügyiratok fénymásolása az ügyiraton szignáláskor feltüntetett más ügyintéző részére. Esetleg az ügyintéző kér másolatot az ügyiratból. Az ügyfélnek fénymásolni a saját papírjait.</w:t>
      </w:r>
    </w:p>
    <w:p>
      <w:pPr>
        <w:pStyle w:val="Normal"/>
        <w:spacing w:lineRule="auto" w:line="240"/>
        <w:jc w:val="both"/>
        <w:rPr>
          <w:sz w:val="24"/>
          <w:szCs w:val="24"/>
        </w:rPr>
      </w:pPr>
      <w:r>
        <w:rPr>
          <w:sz w:val="24"/>
          <w:szCs w:val="24"/>
        </w:rPr>
      </w:r>
    </w:p>
    <w:p>
      <w:pPr>
        <w:pStyle w:val="Normal"/>
        <w:spacing w:lineRule="auto" w:line="240"/>
        <w:jc w:val="both"/>
        <w:rPr/>
      </w:pPr>
      <w:r>
        <w:rPr>
          <w:sz w:val="24"/>
          <w:szCs w:val="24"/>
        </w:rPr>
        <w:t>A hirdetmények kifüggesztése, visszapostázása.</w:t>
      </w:r>
    </w:p>
    <w:p>
      <w:pPr>
        <w:pStyle w:val="Normal"/>
        <w:spacing w:lineRule="auto" w:line="240"/>
        <w:jc w:val="both"/>
        <w:rPr>
          <w:sz w:val="24"/>
          <w:szCs w:val="24"/>
        </w:rPr>
      </w:pPr>
      <w:r>
        <w:rPr>
          <w:sz w:val="24"/>
          <w:szCs w:val="24"/>
        </w:rPr>
      </w:r>
    </w:p>
    <w:p>
      <w:pPr>
        <w:pStyle w:val="Normal"/>
        <w:spacing w:lineRule="auto" w:line="240"/>
        <w:jc w:val="both"/>
        <w:rPr/>
      </w:pPr>
      <w:r>
        <w:rPr>
          <w:sz w:val="24"/>
          <w:szCs w:val="24"/>
        </w:rPr>
        <w:t>Piaci helypénz, helyfoglalási díj, búcsúi helypénz beszedése, azzal történő elszámolása.</w:t>
      </w:r>
    </w:p>
    <w:p>
      <w:pPr>
        <w:pStyle w:val="Normal"/>
        <w:spacing w:lineRule="auto" w:line="240"/>
        <w:jc w:val="both"/>
        <w:rPr>
          <w:sz w:val="24"/>
          <w:szCs w:val="24"/>
        </w:rPr>
      </w:pPr>
      <w:r>
        <w:rPr>
          <w:sz w:val="24"/>
          <w:szCs w:val="24"/>
        </w:rPr>
      </w:r>
    </w:p>
    <w:p>
      <w:pPr>
        <w:pStyle w:val="Normal"/>
        <w:spacing w:lineRule="auto" w:line="240"/>
        <w:jc w:val="both"/>
        <w:rPr/>
      </w:pPr>
      <w:r>
        <w:rPr>
          <w:sz w:val="24"/>
          <w:szCs w:val="24"/>
        </w:rPr>
        <w:t xml:space="preserve">A „Gádorosi Híradó” kötelező példányainak elpostázása. </w:t>
      </w:r>
    </w:p>
    <w:p>
      <w:pPr>
        <w:pStyle w:val="Normal"/>
        <w:spacing w:lineRule="auto" w:line="240"/>
        <w:jc w:val="both"/>
        <w:rPr>
          <w:sz w:val="24"/>
          <w:szCs w:val="24"/>
        </w:rPr>
      </w:pPr>
      <w:r>
        <w:rPr>
          <w:sz w:val="24"/>
          <w:szCs w:val="24"/>
        </w:rPr>
      </w:r>
    </w:p>
    <w:p>
      <w:pPr>
        <w:pStyle w:val="Normal"/>
        <w:spacing w:lineRule="auto" w:line="240"/>
        <w:jc w:val="both"/>
        <w:rPr>
          <w:b w:val="false"/>
          <w:b w:val="false"/>
          <w:bCs w:val="false"/>
        </w:rPr>
      </w:pPr>
      <w:r>
        <w:rPr>
          <w:rFonts w:eastAsia="Calibri"/>
          <w:b w:val="false"/>
          <w:bCs w:val="false"/>
          <w:sz w:val="24"/>
          <w:szCs w:val="24"/>
        </w:rPr>
        <w:t>PV és M feladatokban történő közreműködés.</w:t>
      </w:r>
    </w:p>
    <w:p>
      <w:pPr>
        <w:pStyle w:val="Normal"/>
        <w:jc w:val="both"/>
        <w:rPr>
          <w:rFonts w:eastAsia="Calibri"/>
          <w:szCs w:val="24"/>
        </w:rPr>
      </w:pPr>
      <w:r>
        <w:rPr>
          <w:rFonts w:eastAsia="Calibri"/>
          <w:szCs w:val="24"/>
        </w:rPr>
      </w:r>
    </w:p>
    <w:p>
      <w:pPr>
        <w:pStyle w:val="Normal"/>
        <w:rPr>
          <w:rFonts w:eastAsia="Calibri"/>
          <w:b/>
          <w:b/>
          <w:szCs w:val="24"/>
        </w:rPr>
      </w:pPr>
      <w:r>
        <w:rPr>
          <w:rFonts w:eastAsia="Calibri"/>
          <w:b/>
          <w:szCs w:val="24"/>
        </w:rPr>
      </w:r>
    </w:p>
    <w:p>
      <w:pPr>
        <w:pStyle w:val="Normal"/>
        <w:rPr/>
      </w:pPr>
      <w:r>
        <w:rPr>
          <w:rFonts w:eastAsia="Calibri"/>
          <w:b/>
          <w:szCs w:val="24"/>
        </w:rPr>
        <w:t>Adóügy:</w:t>
      </w:r>
    </w:p>
    <w:p>
      <w:pPr>
        <w:pStyle w:val="Normal"/>
        <w:rPr>
          <w:rFonts w:eastAsia="Calibri"/>
          <w:szCs w:val="24"/>
        </w:rPr>
      </w:pPr>
      <w:r>
        <w:rPr>
          <w:rFonts w:eastAsia="Calibri"/>
          <w:szCs w:val="24"/>
        </w:rPr>
      </w:r>
    </w:p>
    <w:p>
      <w:pPr>
        <w:pStyle w:val="Normal"/>
        <w:jc w:val="both"/>
        <w:rPr/>
      </w:pPr>
      <w:r>
        <w:rPr>
          <w:rFonts w:eastAsia="Times New Roman"/>
          <w:szCs w:val="24"/>
          <w:lang w:eastAsia="hu-HU"/>
        </w:rPr>
        <w:t>Az adócsoport két főből áll. Feladata a helyi iparűzési adó, talajterhelési díj, idegenforgalmi adó, gépjárműadó és a kommunális adó bevallásból, évközi változásokból álló mozgások figyelemmel kísérése, ezen adók beszedése, illetve a hátralékok behajtása, továbbá az adók módjára történő behajtások.</w:t>
      </w:r>
    </w:p>
    <w:p>
      <w:pPr>
        <w:pStyle w:val="Normal"/>
        <w:jc w:val="both"/>
        <w:rPr/>
      </w:pPr>
      <w:r>
        <w:rPr>
          <w:rFonts w:eastAsia="Times New Roman"/>
          <w:szCs w:val="24"/>
          <w:lang w:eastAsia="hu-HU"/>
        </w:rPr>
        <w:t> </w:t>
      </w:r>
      <w:r>
        <w:rPr>
          <w:rFonts w:eastAsia="Times New Roman"/>
          <w:szCs w:val="24"/>
          <w:lang w:eastAsia="hu-HU"/>
        </w:rPr>
        <w:t xml:space="preserve">A </w:t>
      </w:r>
      <w:r>
        <w:rPr>
          <w:rFonts w:eastAsia="Times New Roman"/>
          <w:b/>
          <w:szCs w:val="24"/>
          <w:lang w:eastAsia="hu-HU"/>
        </w:rPr>
        <w:t>magánszemélyek kommunális adója</w:t>
      </w:r>
      <w:r>
        <w:rPr>
          <w:rFonts w:eastAsia="Times New Roman"/>
          <w:szCs w:val="24"/>
          <w:lang w:eastAsia="hu-HU"/>
        </w:rPr>
        <w:t xml:space="preserve"> a 6/1995. (III. 13.) KT. számú rendelettel került bevezetésre.</w:t>
      </w:r>
    </w:p>
    <w:p>
      <w:pPr>
        <w:pStyle w:val="Normal"/>
        <w:jc w:val="both"/>
        <w:rPr/>
      </w:pPr>
      <w:r>
        <w:rPr>
          <w:rFonts w:eastAsia="Times New Roman"/>
          <w:szCs w:val="24"/>
          <w:lang w:eastAsia="hu-HU"/>
        </w:rPr>
        <w:t> </w:t>
      </w:r>
      <w:r>
        <w:rPr>
          <w:rFonts w:eastAsia="Times New Roman"/>
          <w:szCs w:val="24"/>
          <w:lang w:eastAsia="hu-HU"/>
        </w:rPr>
        <w:t>A kommunális adó mértéke alapesetben 7.000,- Ft/ingatlan/év. A jelenleg hatályos kommunális adóról szóló rendelet két privilegizált esete: a 70. életévét betöltött és 18. életévüket be nem töltött adózók 50%-os kedvezményben részesülnek, így az adó mértéke 3.500,- Ft/ingatlan/év.</w:t>
      </w:r>
    </w:p>
    <w:p>
      <w:pPr>
        <w:pStyle w:val="Normal"/>
        <w:jc w:val="both"/>
        <w:rPr/>
      </w:pPr>
      <w:r>
        <w:rPr>
          <w:rFonts w:eastAsia="Times New Roman"/>
          <w:szCs w:val="24"/>
          <w:lang w:eastAsia="hu-HU"/>
        </w:rPr>
        <w:t> </w:t>
      </w:r>
      <w:r>
        <w:rPr>
          <w:rFonts w:eastAsia="Times New Roman"/>
          <w:szCs w:val="24"/>
          <w:lang w:eastAsia="hu-HU"/>
        </w:rPr>
        <w:t>Bevételek alakulása:</w:t>
      </w:r>
    </w:p>
    <w:tbl>
      <w:tblPr>
        <w:tblW w:w="6015" w:type="dxa"/>
        <w:jc w:val="left"/>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8" w:type="dxa"/>
          <w:bottom w:w="0" w:type="dxa"/>
          <w:right w:w="108" w:type="dxa"/>
        </w:tblCellMar>
        <w:tblLook w:firstRow="1" w:noVBand="0" w:lastRow="1" w:firstColumn="1" w:lastColumn="1" w:noHBand="0" w:val="01e0"/>
      </w:tblPr>
      <w:tblGrid>
        <w:gridCol w:w="900"/>
        <w:gridCol w:w="1650"/>
        <w:gridCol w:w="3465"/>
      </w:tblGrid>
      <w:tr>
        <w:trPr/>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 </w:t>
            </w:r>
          </w:p>
        </w:tc>
        <w:tc>
          <w:tcPr>
            <w:tcW w:w="16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Tervezett</w:t>
            </w:r>
          </w:p>
        </w:tc>
        <w:tc>
          <w:tcPr>
            <w:tcW w:w="34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Teljesített</w:t>
            </w:r>
          </w:p>
        </w:tc>
      </w:tr>
      <w:tr>
        <w:trPr/>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2017.</w:t>
            </w:r>
          </w:p>
        </w:tc>
        <w:tc>
          <w:tcPr>
            <w:tcW w:w="16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9.500.000 Ft</w:t>
            </w:r>
          </w:p>
        </w:tc>
        <w:tc>
          <w:tcPr>
            <w:tcW w:w="34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5.253.707,-Ft (2017. aug. 14-ig)</w:t>
            </w:r>
          </w:p>
        </w:tc>
      </w:tr>
    </w:tbl>
    <w:p>
      <w:pPr>
        <w:pStyle w:val="Normal"/>
        <w:jc w:val="both"/>
        <w:rPr/>
      </w:pPr>
      <w:r>
        <w:rPr>
          <w:rFonts w:eastAsia="Times New Roman"/>
          <w:szCs w:val="24"/>
          <w:lang w:eastAsia="hu-HU"/>
        </w:rPr>
        <w:t> </w:t>
      </w:r>
      <w:r>
        <w:rPr>
          <w:rFonts w:eastAsia="Times New Roman"/>
          <w:szCs w:val="24"/>
          <w:lang w:eastAsia="hu-HU"/>
        </w:rPr>
        <w:t>A kommunális adóról szóló rendelet alapján az éves adó mértékének 50%-át fizeti az az egyedülálló magánszemély, akinek nettó jövedelme az adóévet megelőző év január 1-jén az öregségi nyugdíj legkisebb összegének (28.500 Ft) 150%-át, azaz 42.750 Ft-ot nem éri el. 2017-ban nem volt ilyen kérelem.</w:t>
      </w:r>
    </w:p>
    <w:p>
      <w:pPr>
        <w:pStyle w:val="Normal"/>
        <w:jc w:val="both"/>
        <w:rPr/>
      </w:pPr>
      <w:r>
        <w:rPr>
          <w:rFonts w:eastAsia="Times New Roman"/>
          <w:szCs w:val="24"/>
          <w:lang w:eastAsia="hu-HU"/>
        </w:rPr>
        <w:t> </w:t>
      </w:r>
    </w:p>
    <w:p>
      <w:pPr>
        <w:pStyle w:val="Normal"/>
        <w:jc w:val="both"/>
        <w:rPr/>
      </w:pPr>
      <w:r>
        <w:rPr>
          <w:rFonts w:eastAsia="Times New Roman"/>
          <w:szCs w:val="24"/>
          <w:lang w:eastAsia="hu-HU"/>
        </w:rPr>
        <w:t xml:space="preserve">A </w:t>
      </w:r>
      <w:r>
        <w:rPr>
          <w:rFonts w:eastAsia="Times New Roman"/>
          <w:b/>
          <w:szCs w:val="24"/>
          <w:lang w:eastAsia="hu-HU"/>
        </w:rPr>
        <w:t>helyi iparűzési adó</w:t>
      </w:r>
      <w:r>
        <w:rPr>
          <w:rFonts w:eastAsia="Times New Roman"/>
          <w:szCs w:val="24"/>
          <w:lang w:eastAsia="hu-HU"/>
        </w:rPr>
        <w:t xml:space="preserve"> a 23/1999. (XII. 22.) KT. számú rendelettel került bevezetésre.</w:t>
      </w:r>
    </w:p>
    <w:p>
      <w:pPr>
        <w:pStyle w:val="Normal"/>
        <w:jc w:val="both"/>
        <w:rPr/>
      </w:pPr>
      <w:r>
        <w:rPr>
          <w:rFonts w:eastAsia="Times New Roman"/>
          <w:szCs w:val="24"/>
          <w:lang w:eastAsia="hu-HU"/>
        </w:rPr>
        <w:t> </w:t>
      </w:r>
      <w:r>
        <w:rPr>
          <w:rFonts w:eastAsia="Times New Roman"/>
          <w:szCs w:val="24"/>
          <w:lang w:eastAsia="hu-HU"/>
        </w:rPr>
        <w:t>Az adó mértéke az iparűzési adóalap 2%-a. 2008. január 1-től megszűnt a helyi iparűzési adó fizetése alól mentes határ (600.000 Ft), így a vállalkozási szintű iparűzési adóalap teljes összege után kell a 2% adót megfizetni. Azoknak az őstermelőknek, akiknek a bevételük nem haladja meg a 600.000 Ft-ot, nem kell iparűzési adót fizetniük.</w:t>
      </w:r>
    </w:p>
    <w:p>
      <w:pPr>
        <w:pStyle w:val="Normal"/>
        <w:jc w:val="both"/>
        <w:rPr/>
      </w:pPr>
      <w:r>
        <w:rPr>
          <w:rFonts w:eastAsia="Times New Roman"/>
          <w:szCs w:val="24"/>
          <w:lang w:eastAsia="hu-HU"/>
        </w:rPr>
        <w:t> </w:t>
      </w:r>
      <w:r>
        <w:rPr>
          <w:rFonts w:eastAsia="Times New Roman"/>
          <w:szCs w:val="24"/>
          <w:lang w:eastAsia="hu-HU"/>
        </w:rPr>
        <w:t xml:space="preserve">Az egyéni vállalkozók, az egyéni cégek, a kizárólag magánszemély taggal rendelkező betéti társaságok és közkereseti társaságok a kisadózó vállalkozások tételes adójáról és a kisvállalati adóról szóló </w:t>
      </w:r>
      <w:r>
        <w:rPr>
          <w:rFonts w:eastAsia="Times New Roman"/>
          <w:bCs/>
          <w:szCs w:val="24"/>
          <w:lang w:eastAsia="hu-HU"/>
        </w:rPr>
        <w:t>2012. évi CXLVII. törvényben</w:t>
      </w:r>
      <w:r>
        <w:rPr>
          <w:rFonts w:eastAsia="Times New Roman"/>
          <w:szCs w:val="24"/>
          <w:lang w:eastAsia="hu-HU"/>
        </w:rPr>
        <w:t xml:space="preserve"> meghatározott feltételek teljesülése estén 2013. január 1-től választhatják a kisadózó vállalkozások tételes adóját (továbbiakban: KATA).</w:t>
      </w:r>
    </w:p>
    <w:p>
      <w:pPr>
        <w:pStyle w:val="Normal"/>
        <w:jc w:val="both"/>
        <w:rPr/>
      </w:pPr>
      <w:r>
        <w:rPr>
          <w:rFonts w:eastAsia="Times New Roman"/>
          <w:szCs w:val="24"/>
          <w:lang w:eastAsia="hu-HU"/>
        </w:rPr>
        <w:t xml:space="preserve">Gádoroson </w:t>
      </w:r>
      <w:r>
        <w:rPr>
          <w:rFonts w:eastAsia="Times New Roman"/>
          <w:szCs w:val="24"/>
          <w:u w:val="single"/>
          <w:lang w:eastAsia="hu-HU"/>
        </w:rPr>
        <w:t>13 adózó</w:t>
      </w:r>
      <w:r>
        <w:rPr>
          <w:rFonts w:eastAsia="Times New Roman"/>
          <w:szCs w:val="24"/>
          <w:lang w:eastAsia="hu-HU"/>
        </w:rPr>
        <w:t xml:space="preserve"> választotta ezt az adózási formát.</w:t>
      </w:r>
    </w:p>
    <w:p>
      <w:pPr>
        <w:pStyle w:val="Normal"/>
        <w:jc w:val="both"/>
        <w:rPr/>
      </w:pPr>
      <w:r>
        <w:rPr>
          <w:rFonts w:eastAsia="Times New Roman"/>
          <w:szCs w:val="24"/>
          <w:lang w:eastAsia="hu-HU"/>
        </w:rPr>
        <w:t>A KATA-t választó adóalanyoknál az iparűzési adó alapja 2.500.000 Ft, a fizetendő adó 50.000 Ft/év.</w:t>
      </w:r>
    </w:p>
    <w:p>
      <w:pPr>
        <w:pStyle w:val="Normal"/>
        <w:rPr/>
      </w:pPr>
      <w:r>
        <w:rPr>
          <w:rFonts w:eastAsia="Times New Roman"/>
          <w:szCs w:val="24"/>
          <w:lang w:eastAsia="hu-HU"/>
        </w:rPr>
        <w:t> </w:t>
      </w:r>
      <w:r>
        <w:rPr>
          <w:rFonts w:eastAsia="Times New Roman"/>
          <w:szCs w:val="24"/>
          <w:lang w:eastAsia="hu-HU"/>
        </w:rPr>
        <w:t>Bevételek alakulása:</w:t>
      </w:r>
    </w:p>
    <w:tbl>
      <w:tblPr>
        <w:tblW w:w="6060" w:type="dxa"/>
        <w:jc w:val="left"/>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8" w:type="dxa"/>
          <w:bottom w:w="0" w:type="dxa"/>
          <w:right w:w="108" w:type="dxa"/>
        </w:tblCellMar>
        <w:tblLook w:firstRow="1" w:noVBand="0" w:lastRow="1" w:firstColumn="1" w:lastColumn="1" w:noHBand="0" w:val="01e0"/>
      </w:tblPr>
      <w:tblGrid>
        <w:gridCol w:w="900"/>
        <w:gridCol w:w="1650"/>
        <w:gridCol w:w="3510"/>
      </w:tblGrid>
      <w:tr>
        <w:trPr/>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 </w:t>
            </w:r>
          </w:p>
        </w:tc>
        <w:tc>
          <w:tcPr>
            <w:tcW w:w="16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Tervezett</w:t>
            </w:r>
          </w:p>
        </w:tc>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Teljesített</w:t>
            </w:r>
          </w:p>
        </w:tc>
      </w:tr>
      <w:tr>
        <w:trPr/>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2017.</w:t>
            </w:r>
          </w:p>
        </w:tc>
        <w:tc>
          <w:tcPr>
            <w:tcW w:w="16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35.000.000 Ft</w:t>
            </w:r>
          </w:p>
        </w:tc>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18.893.806,-Ft (2017. aug. 14-ig)</w:t>
            </w:r>
          </w:p>
        </w:tc>
      </w:tr>
    </w:tbl>
    <w:p>
      <w:pPr>
        <w:pStyle w:val="Normal"/>
        <w:rPr/>
      </w:pPr>
      <w:r>
        <w:rPr>
          <w:rFonts w:eastAsia="Times New Roman"/>
          <w:szCs w:val="24"/>
          <w:lang w:eastAsia="hu-HU"/>
        </w:rPr>
        <w:t> </w:t>
      </w:r>
    </w:p>
    <w:p>
      <w:pPr>
        <w:pStyle w:val="Normal"/>
        <w:jc w:val="both"/>
        <w:rPr/>
      </w:pPr>
      <w:r>
        <w:rPr>
          <w:rFonts w:eastAsia="Times New Roman"/>
          <w:szCs w:val="24"/>
          <w:lang w:eastAsia="hu-HU"/>
        </w:rPr>
        <w:t xml:space="preserve">A </w:t>
      </w:r>
      <w:r>
        <w:rPr>
          <w:rFonts w:eastAsia="Times New Roman"/>
          <w:b/>
          <w:szCs w:val="24"/>
          <w:lang w:eastAsia="hu-HU"/>
        </w:rPr>
        <w:t>gépjárműadó</w:t>
      </w:r>
      <w:r>
        <w:rPr>
          <w:rFonts w:eastAsia="Times New Roman"/>
          <w:szCs w:val="24"/>
          <w:lang w:eastAsia="hu-HU"/>
        </w:rPr>
        <w:t xml:space="preserve">ról szóló többször módosított 1991. évi LXXXII. törvény alapján kerül sor a gépjárművek adóztatására. Az adó alapja a személyszállító gépjármű hatósági nyilvántartásban feltüntetett teljesítménye </w:t>
      </w:r>
      <w:r>
        <w:rPr>
          <w:rFonts w:eastAsia="Times New Roman"/>
          <w:i/>
          <w:iCs/>
          <w:szCs w:val="24"/>
          <w:lang w:eastAsia="hu-HU"/>
        </w:rPr>
        <w:t>kilowattban</w:t>
      </w:r>
      <w:r>
        <w:rPr>
          <w:rFonts w:eastAsia="Times New Roman"/>
          <w:szCs w:val="24"/>
          <w:lang w:eastAsia="hu-HU"/>
        </w:rPr>
        <w:t xml:space="preserve"> kifejezve. Az adó mértéke az adóalap után háromévenként változik:</w:t>
      </w:r>
    </w:p>
    <w:p>
      <w:pPr>
        <w:pStyle w:val="Normal"/>
        <w:ind w:left="585" w:hanging="0"/>
        <w:rPr/>
      </w:pPr>
      <w:r>
        <w:rPr>
          <w:rFonts w:eastAsia="Times New Roman"/>
          <w:szCs w:val="24"/>
          <w:lang w:eastAsia="hu-HU"/>
        </w:rPr>
        <w:t>A gyártás évében és az azt követő 3 évben</w:t>
        <w:tab/>
        <w:tab/>
        <w:t xml:space="preserve"> 345 Ft/kilowatt</w:t>
      </w:r>
    </w:p>
    <w:p>
      <w:pPr>
        <w:pStyle w:val="Normal"/>
        <w:ind w:left="585" w:hanging="0"/>
        <w:rPr/>
      </w:pPr>
      <w:r>
        <w:rPr>
          <w:rFonts w:eastAsia="Times New Roman"/>
          <w:szCs w:val="24"/>
          <w:lang w:eastAsia="hu-HU"/>
        </w:rPr>
        <w:t>4-7 naptári évben</w:t>
        <w:tab/>
        <w:tab/>
        <w:tab/>
        <w:tab/>
        <w:tab/>
        <w:t xml:space="preserve"> 300 Ft/kilowatt</w:t>
      </w:r>
    </w:p>
    <w:p>
      <w:pPr>
        <w:pStyle w:val="Normal"/>
        <w:ind w:left="585" w:hanging="0"/>
        <w:rPr/>
      </w:pPr>
      <w:r>
        <w:rPr>
          <w:rFonts w:eastAsia="Times New Roman"/>
          <w:szCs w:val="24"/>
          <w:lang w:eastAsia="hu-HU"/>
        </w:rPr>
        <w:t>8-11 naptári évben</w:t>
        <w:tab/>
        <w:tab/>
        <w:tab/>
        <w:tab/>
        <w:tab/>
        <w:t xml:space="preserve"> 230 Ft/kilowatt</w:t>
      </w:r>
    </w:p>
    <w:p>
      <w:pPr>
        <w:pStyle w:val="Normal"/>
        <w:ind w:left="585" w:hanging="0"/>
        <w:rPr/>
      </w:pPr>
      <w:r>
        <w:rPr>
          <w:rFonts w:eastAsia="Times New Roman"/>
          <w:szCs w:val="24"/>
          <w:lang w:eastAsia="hu-HU"/>
        </w:rPr>
        <w:t>12-15 naptári évben</w:t>
        <w:tab/>
        <w:tab/>
        <w:tab/>
        <w:tab/>
        <w:tab/>
        <w:t xml:space="preserve"> 185 Ft/kilowatt</w:t>
      </w:r>
    </w:p>
    <w:p>
      <w:pPr>
        <w:pStyle w:val="Normal"/>
        <w:ind w:left="585" w:hanging="0"/>
        <w:rPr/>
      </w:pPr>
      <w:r>
        <w:rPr>
          <w:rFonts w:eastAsia="Times New Roman"/>
          <w:szCs w:val="24"/>
          <w:lang w:eastAsia="hu-HU"/>
        </w:rPr>
        <w:t>A gyártást követő 16. naptári évben és azt követően   140 Ft/kilowatt.</w:t>
      </w:r>
    </w:p>
    <w:p>
      <w:pPr>
        <w:pStyle w:val="Normal"/>
        <w:ind w:left="585" w:hanging="0"/>
        <w:rPr/>
      </w:pPr>
      <w:r>
        <w:rPr>
          <w:rFonts w:eastAsia="Times New Roman"/>
          <w:szCs w:val="24"/>
          <w:lang w:eastAsia="hu-HU"/>
        </w:rPr>
        <w:t> </w:t>
      </w:r>
    </w:p>
    <w:p>
      <w:pPr>
        <w:pStyle w:val="Normal"/>
        <w:jc w:val="both"/>
        <w:rPr/>
      </w:pPr>
      <w:r>
        <w:rPr>
          <w:rFonts w:eastAsia="Times New Roman"/>
          <w:szCs w:val="24"/>
          <w:lang w:eastAsia="hu-HU"/>
        </w:rPr>
        <w:t>A légrugós vagy azzal egyenértékű rugózási rendszerű tehergépjármű, nyergesvontató, autóbusz esetén az adó mértéke az adóalap minden megkezdett 100 kilogrammja után 850 Ft, egyéb esetben pedig 1.380 Ft.</w:t>
      </w:r>
    </w:p>
    <w:p>
      <w:pPr>
        <w:pStyle w:val="Normal"/>
        <w:jc w:val="both"/>
        <w:rPr/>
      </w:pPr>
      <w:r>
        <w:rPr>
          <w:rFonts w:eastAsia="Times New Roman"/>
          <w:szCs w:val="24"/>
          <w:lang w:eastAsia="hu-HU"/>
        </w:rPr>
        <w:t> </w:t>
      </w:r>
      <w:r>
        <w:rPr>
          <w:rFonts w:eastAsia="Times New Roman"/>
          <w:szCs w:val="24"/>
          <w:lang w:eastAsia="hu-HU"/>
        </w:rPr>
        <w:t xml:space="preserve">2013. január 1-jétől a gépjárműadó megosztott bevétellé vált, 60%-ban állami, </w:t>
      </w:r>
      <w:r>
        <w:rPr>
          <w:rFonts w:eastAsia="Times New Roman"/>
          <w:b/>
          <w:i/>
          <w:szCs w:val="24"/>
          <w:lang w:eastAsia="hu-HU"/>
        </w:rPr>
        <w:t>40%-ban</w:t>
      </w:r>
      <w:r>
        <w:rPr>
          <w:rFonts w:eastAsia="Times New Roman"/>
          <w:szCs w:val="24"/>
          <w:lang w:eastAsia="hu-HU"/>
        </w:rPr>
        <w:t xml:space="preserve"> </w:t>
      </w:r>
      <w:r>
        <w:rPr>
          <w:rFonts w:eastAsia="Times New Roman"/>
          <w:b/>
          <w:i/>
          <w:szCs w:val="24"/>
          <w:lang w:eastAsia="hu-HU"/>
        </w:rPr>
        <w:t>önkormányzati részesedés</w:t>
      </w:r>
      <w:r>
        <w:rPr>
          <w:rFonts w:eastAsia="Times New Roman"/>
          <w:szCs w:val="24"/>
          <w:lang w:eastAsia="hu-HU"/>
        </w:rPr>
        <w:t>sel.</w:t>
      </w:r>
    </w:p>
    <w:p>
      <w:pPr>
        <w:pStyle w:val="Normal"/>
        <w:jc w:val="both"/>
        <w:rPr/>
      </w:pPr>
      <w:r>
        <w:rPr>
          <w:rFonts w:eastAsia="Times New Roman"/>
          <w:szCs w:val="24"/>
          <w:lang w:eastAsia="hu-HU"/>
        </w:rPr>
        <w:t> </w:t>
      </w:r>
      <w:r>
        <w:rPr>
          <w:rFonts w:eastAsia="Times New Roman"/>
          <w:szCs w:val="24"/>
          <w:lang w:eastAsia="hu-HU"/>
        </w:rPr>
        <w:t xml:space="preserve">A gépjárműadó esetében az adóalany minden esetben a gépjármű üzembentartója. </w:t>
      </w:r>
    </w:p>
    <w:p>
      <w:pPr>
        <w:pStyle w:val="Normal"/>
        <w:jc w:val="both"/>
        <w:rPr/>
      </w:pPr>
      <w:r>
        <w:rPr>
          <w:rFonts w:eastAsia="Times New Roman"/>
          <w:szCs w:val="24"/>
          <w:lang w:eastAsia="hu-HU"/>
        </w:rPr>
        <w:t>A mentesség sem jelent abszolút mentességet, mivel ez csak 13.000 Ft-ig jár. A 13.000 Ft feletti részt a súlyos mozgáskorlátozott adóalanynak is meg kell fizetnie.</w:t>
      </w:r>
    </w:p>
    <w:p>
      <w:pPr>
        <w:pStyle w:val="Normal"/>
        <w:jc w:val="both"/>
        <w:rPr/>
      </w:pPr>
      <w:r>
        <w:rPr>
          <w:rFonts w:eastAsia="Times New Roman"/>
          <w:i/>
          <w:iCs/>
          <w:szCs w:val="24"/>
          <w:lang w:eastAsia="hu-HU"/>
        </w:rPr>
        <w:t> </w:t>
      </w:r>
      <w:r>
        <w:rPr>
          <w:rFonts w:eastAsia="Times New Roman"/>
          <w:szCs w:val="24"/>
          <w:lang w:eastAsia="hu-HU"/>
        </w:rPr>
        <w:t>Nem jogosít mentességre 2013. január 1-től kizárólag</w:t>
      </w:r>
    </w:p>
    <w:p>
      <w:pPr>
        <w:pStyle w:val="Normal"/>
        <w:numPr>
          <w:ilvl w:val="0"/>
          <w:numId w:val="1"/>
        </w:numPr>
        <w:spacing w:lineRule="auto" w:line="259"/>
        <w:jc w:val="both"/>
        <w:rPr/>
      </w:pPr>
      <w:r>
        <w:rPr>
          <w:rFonts w:eastAsia="Times New Roman"/>
          <w:szCs w:val="24"/>
          <w:lang w:eastAsia="hu-HU"/>
        </w:rPr>
        <w:t>a 2011. július 1-ig kiadott ún. „7 pontos igazolás”</w:t>
      </w:r>
    </w:p>
    <w:p>
      <w:pPr>
        <w:pStyle w:val="Normal"/>
        <w:numPr>
          <w:ilvl w:val="0"/>
          <w:numId w:val="1"/>
        </w:numPr>
        <w:spacing w:lineRule="auto" w:line="259"/>
        <w:jc w:val="both"/>
        <w:rPr/>
      </w:pPr>
      <w:r>
        <w:rPr>
          <w:rFonts w:eastAsia="Times New Roman"/>
          <w:szCs w:val="24"/>
          <w:lang w:eastAsia="hu-HU"/>
        </w:rPr>
        <w:t>a BNO kód XIII. főcsoportjába tartózó vezető diagnózisra tekintettel megállapított, legalább 40%-os egészségkárosodással rendelkező személy esetén kiadott Nemzeti Rehabilitációs és Szociális Hivatal (NRSZH) szakvélemény.</w:t>
      </w:r>
    </w:p>
    <w:p>
      <w:pPr>
        <w:pStyle w:val="Normal"/>
        <w:jc w:val="both"/>
        <w:rPr/>
      </w:pPr>
      <w:r>
        <w:rPr>
          <w:rFonts w:eastAsia="Times New Roman"/>
          <w:szCs w:val="24"/>
          <w:lang w:eastAsia="hu-HU"/>
        </w:rPr>
        <w:t> </w:t>
      </w:r>
      <w:r>
        <w:rPr>
          <w:rFonts w:eastAsia="Times New Roman"/>
          <w:szCs w:val="24"/>
          <w:lang w:eastAsia="hu-HU"/>
        </w:rPr>
        <w:t>A mentesség megadásához a súlyos mozgáskorlátozottság tényét az alábbi, 2012. március 30–át követően indult szakhatósági eljárás során kiállított dokumentumokkal kell, illetve lehet igazolni:</w:t>
      </w:r>
    </w:p>
    <w:p>
      <w:pPr>
        <w:pStyle w:val="Normal"/>
        <w:numPr>
          <w:ilvl w:val="0"/>
          <w:numId w:val="2"/>
        </w:numPr>
        <w:spacing w:lineRule="auto" w:line="259"/>
        <w:jc w:val="both"/>
        <w:rPr/>
      </w:pPr>
      <w:r>
        <w:rPr>
          <w:rFonts w:eastAsia="Times New Roman"/>
          <w:szCs w:val="24"/>
          <w:lang w:eastAsia="hu-HU"/>
        </w:rPr>
        <w:t>A Magyar Államkincstár határozata (vagy a megállapítás alapjául szolgáló szakvéleménye, szakhatósági állásfoglalás: a fogyatékos személyek jogairól és esélyegyenlőségük biztosításáról szóló 1998. évi XXVI. törvény (Fot.) 23. § (1) bekezdés e) és f) pontjai szerinti fogyatékossági támogatás megállapításáról, vagy</w:t>
      </w:r>
    </w:p>
    <w:p>
      <w:pPr>
        <w:pStyle w:val="Normal"/>
        <w:numPr>
          <w:ilvl w:val="0"/>
          <w:numId w:val="2"/>
        </w:numPr>
        <w:spacing w:lineRule="auto" w:line="259"/>
        <w:jc w:val="both"/>
        <w:rPr/>
      </w:pPr>
      <w:r>
        <w:rPr>
          <w:rFonts w:eastAsia="Times New Roman"/>
          <w:szCs w:val="24"/>
          <w:lang w:eastAsia="hu-HU"/>
        </w:rPr>
        <w:t>a magasabb összegű családi pótlékra jogosító betegségekről és fogyatékosságokról szóló 5/2003. (II. 19.) EszCsM rendelet 3. számú mellékletében meghatározott, hatályos igazolás (18 év alatti esetében), vagy</w:t>
      </w:r>
    </w:p>
    <w:p>
      <w:pPr>
        <w:pStyle w:val="Normal"/>
        <w:numPr>
          <w:ilvl w:val="0"/>
          <w:numId w:val="2"/>
        </w:numPr>
        <w:spacing w:lineRule="auto" w:line="259"/>
        <w:jc w:val="both"/>
        <w:rPr/>
      </w:pPr>
      <w:r>
        <w:rPr>
          <w:rFonts w:eastAsia="Times New Roman"/>
          <w:szCs w:val="24"/>
          <w:lang w:eastAsia="hu-HU"/>
        </w:rPr>
        <w:t>a Nemzeti Rehabilitációs és Szociális Hivatal (szakértői szerv) által a közlekedőképesség minősítéséről kiadott szakvéleménye.</w:t>
      </w:r>
    </w:p>
    <w:p>
      <w:pPr>
        <w:pStyle w:val="Normal"/>
        <w:numPr>
          <w:ilvl w:val="0"/>
          <w:numId w:val="2"/>
        </w:numPr>
        <w:spacing w:lineRule="auto" w:line="259"/>
        <w:jc w:val="both"/>
        <w:rPr/>
      </w:pPr>
      <w:r>
        <w:rPr/>
        <w:t>az adóalany nyilatkozata alapján vele közös háztartásban élő, súlyosan mozgáskorlátozott vagy egyéb fogyatékossággal élő személyt rendszeresen szállító</w:t>
      </w:r>
    </w:p>
    <w:p>
      <w:pPr>
        <w:pStyle w:val="Normal"/>
        <w:jc w:val="both"/>
        <w:rPr/>
      </w:pPr>
      <w:r>
        <w:rPr>
          <w:rFonts w:eastAsia="Times New Roman"/>
          <w:szCs w:val="24"/>
          <w:lang w:eastAsia="hu-HU"/>
        </w:rPr>
        <w:t> </w:t>
      </w:r>
      <w:r>
        <w:rPr>
          <w:rFonts w:eastAsia="Times New Roman"/>
          <w:szCs w:val="24"/>
          <w:lang w:eastAsia="hu-HU"/>
        </w:rPr>
        <w:t>Azok, akik a fenti dokumentumok egyikével sem rendelkeznek, a közlekedőképesség minősítését elősegítő, rendelkezésre álló orvosi dokumentációval és egyéb iratokkal az önkormányzatnál kérelmezhetik a súlyos mozgáskorlátozottság megállapítását.</w:t>
      </w:r>
    </w:p>
    <w:p>
      <w:pPr>
        <w:pStyle w:val="Normal"/>
        <w:jc w:val="both"/>
        <w:rPr/>
      </w:pPr>
      <w:r>
        <w:rPr>
          <w:rFonts w:eastAsia="Times New Roman"/>
          <w:szCs w:val="24"/>
          <w:lang w:eastAsia="hu-HU"/>
        </w:rPr>
        <w:t>A kérelmet a szakértői szervhez továbbítjuk a közlekedőképesség minősítése érdekében.</w:t>
      </w:r>
    </w:p>
    <w:p>
      <w:pPr>
        <w:pStyle w:val="Normal"/>
        <w:jc w:val="both"/>
        <w:rPr/>
      </w:pPr>
      <w:r>
        <w:rPr>
          <w:rFonts w:eastAsia="Times New Roman"/>
          <w:szCs w:val="24"/>
          <w:lang w:eastAsia="hu-HU"/>
        </w:rPr>
        <w:t>Ebben az esetben a Nemzeti Rehabilitációs és Szociális Hivatal szakvéleményében foglaltak szolgálnak alapul a gépjárműadó alóli mentesség megállapításához (feltéve, hogy a kérelmező állapota várhatóan legalább három éven keresztül fennáll).</w:t>
      </w:r>
    </w:p>
    <w:p>
      <w:pPr>
        <w:pStyle w:val="Normal"/>
        <w:jc w:val="both"/>
        <w:rPr/>
      </w:pPr>
      <w:r>
        <w:rPr>
          <w:rFonts w:eastAsia="Times New Roman"/>
          <w:szCs w:val="24"/>
          <w:lang w:eastAsia="hu-HU"/>
        </w:rPr>
        <w:t> </w:t>
      </w:r>
      <w:r>
        <w:rPr>
          <w:rFonts w:eastAsia="Times New Roman"/>
          <w:szCs w:val="24"/>
          <w:lang w:eastAsia="hu-HU"/>
        </w:rPr>
        <w:t>A 2013-tól fennálló mentesség megállapításához mindenképp szükséges az új igazolás beszerzése.</w:t>
      </w:r>
    </w:p>
    <w:p>
      <w:pPr>
        <w:pStyle w:val="Normal"/>
        <w:rPr>
          <w:rFonts w:eastAsia="Times New Roman"/>
          <w:szCs w:val="24"/>
          <w:lang w:eastAsia="hu-HU"/>
        </w:rPr>
      </w:pPr>
      <w:r>
        <w:rPr>
          <w:rFonts w:eastAsia="Times New Roman"/>
          <w:szCs w:val="24"/>
          <w:lang w:eastAsia="hu-HU"/>
        </w:rPr>
      </w:r>
    </w:p>
    <w:tbl>
      <w:tblPr>
        <w:tblW w:w="6180" w:type="dxa"/>
        <w:jc w:val="left"/>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8" w:type="dxa"/>
          <w:bottom w:w="0" w:type="dxa"/>
          <w:right w:w="108" w:type="dxa"/>
        </w:tblCellMar>
        <w:tblLook w:firstRow="1" w:noVBand="0" w:lastRow="1" w:firstColumn="1" w:lastColumn="1" w:noHBand="0" w:val="01e0"/>
      </w:tblPr>
      <w:tblGrid>
        <w:gridCol w:w="854"/>
        <w:gridCol w:w="1695"/>
        <w:gridCol w:w="3631"/>
      </w:tblGrid>
      <w:tr>
        <w:trPr/>
        <w:tc>
          <w:tcPr>
            <w:tcW w:w="8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 </w:t>
            </w:r>
          </w:p>
        </w:tc>
        <w:tc>
          <w:tcPr>
            <w:tcW w:w="1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Tervezett</w:t>
            </w:r>
          </w:p>
        </w:tc>
        <w:tc>
          <w:tcPr>
            <w:tcW w:w="3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Teljesített</w:t>
            </w:r>
          </w:p>
        </w:tc>
      </w:tr>
      <w:tr>
        <w:trPr/>
        <w:tc>
          <w:tcPr>
            <w:tcW w:w="8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2017.</w:t>
            </w:r>
          </w:p>
        </w:tc>
        <w:tc>
          <w:tcPr>
            <w:tcW w:w="1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4.600.000 Ft</w:t>
            </w:r>
          </w:p>
        </w:tc>
        <w:tc>
          <w:tcPr>
            <w:tcW w:w="3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3.110.222,-Ft (2017. aug. 14-ig)</w:t>
            </w:r>
          </w:p>
        </w:tc>
      </w:tr>
    </w:tbl>
    <w:p>
      <w:pPr>
        <w:pStyle w:val="Normal"/>
        <w:rPr/>
      </w:pPr>
      <w:r>
        <w:rPr>
          <w:rFonts w:eastAsia="Times New Roman"/>
          <w:szCs w:val="24"/>
          <w:lang w:eastAsia="hu-HU"/>
        </w:rPr>
        <w:t> </w:t>
      </w:r>
    </w:p>
    <w:p>
      <w:pPr>
        <w:pStyle w:val="Normal"/>
        <w:jc w:val="both"/>
        <w:rPr/>
      </w:pPr>
      <w:r>
        <w:rPr>
          <w:rFonts w:eastAsia="Times New Roman"/>
          <w:szCs w:val="24"/>
          <w:lang w:eastAsia="hu-HU"/>
        </w:rPr>
        <w:t xml:space="preserve">A </w:t>
      </w:r>
      <w:r>
        <w:rPr>
          <w:rFonts w:eastAsia="Times New Roman"/>
          <w:b/>
          <w:szCs w:val="24"/>
          <w:lang w:eastAsia="hu-HU"/>
        </w:rPr>
        <w:t>késedelmi pótlék</w:t>
      </w:r>
      <w:r>
        <w:rPr>
          <w:rFonts w:eastAsia="Times New Roman"/>
          <w:szCs w:val="24"/>
          <w:lang w:eastAsia="hu-HU"/>
        </w:rPr>
        <w:t xml:space="preserve"> mértéke minden naptári nap után a mindenkori jegybanki alapkamat kétszeresének 365-öd része. </w:t>
      </w:r>
    </w:p>
    <w:p>
      <w:pPr>
        <w:pStyle w:val="Normal"/>
        <w:jc w:val="both"/>
        <w:rPr>
          <w:rFonts w:eastAsia="Times New Roman"/>
          <w:szCs w:val="24"/>
          <w:lang w:eastAsia="hu-HU"/>
        </w:rPr>
      </w:pPr>
      <w:r>
        <w:rPr>
          <w:rFonts w:eastAsia="Times New Roman"/>
          <w:szCs w:val="24"/>
          <w:lang w:eastAsia="hu-HU"/>
        </w:rPr>
      </w:r>
    </w:p>
    <w:p>
      <w:pPr>
        <w:pStyle w:val="Normal"/>
        <w:rPr/>
      </w:pPr>
      <w:r>
        <w:rPr>
          <w:rFonts w:eastAsia="Times New Roman"/>
          <w:szCs w:val="24"/>
          <w:lang w:eastAsia="hu-HU"/>
        </w:rPr>
        <w:t> </w:t>
      </w:r>
      <w:r>
        <w:rPr>
          <w:rFonts w:eastAsia="Times New Roman"/>
          <w:szCs w:val="24"/>
          <w:lang w:eastAsia="hu-HU"/>
        </w:rPr>
        <w:t>A bevétel alakulása:</w:t>
      </w:r>
    </w:p>
    <w:tbl>
      <w:tblPr>
        <w:tblW w:w="6180" w:type="dxa"/>
        <w:jc w:val="left"/>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8" w:type="dxa"/>
          <w:bottom w:w="0" w:type="dxa"/>
          <w:right w:w="108" w:type="dxa"/>
        </w:tblCellMar>
        <w:tblLook w:firstRow="1" w:noVBand="0" w:lastRow="1" w:firstColumn="1" w:lastColumn="1" w:noHBand="0" w:val="01e0"/>
      </w:tblPr>
      <w:tblGrid>
        <w:gridCol w:w="854"/>
        <w:gridCol w:w="1695"/>
        <w:gridCol w:w="3631"/>
      </w:tblGrid>
      <w:tr>
        <w:trPr/>
        <w:tc>
          <w:tcPr>
            <w:tcW w:w="8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 </w:t>
            </w:r>
          </w:p>
        </w:tc>
        <w:tc>
          <w:tcPr>
            <w:tcW w:w="1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Tervezett</w:t>
            </w:r>
          </w:p>
        </w:tc>
        <w:tc>
          <w:tcPr>
            <w:tcW w:w="3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Teljesített</w:t>
            </w:r>
          </w:p>
        </w:tc>
      </w:tr>
      <w:tr>
        <w:trPr/>
        <w:tc>
          <w:tcPr>
            <w:tcW w:w="8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2017</w:t>
            </w:r>
          </w:p>
        </w:tc>
        <w:tc>
          <w:tcPr>
            <w:tcW w:w="1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500.000 Ft</w:t>
            </w:r>
          </w:p>
        </w:tc>
        <w:tc>
          <w:tcPr>
            <w:tcW w:w="3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251.682,-Ft (2017. aug. 14-ig)</w:t>
            </w:r>
          </w:p>
        </w:tc>
      </w:tr>
    </w:tbl>
    <w:p>
      <w:pPr>
        <w:pStyle w:val="Normal"/>
        <w:jc w:val="both"/>
        <w:rPr/>
      </w:pPr>
      <w:r>
        <w:rPr>
          <w:rFonts w:eastAsia="Times New Roman"/>
          <w:szCs w:val="24"/>
          <w:lang w:eastAsia="hu-HU"/>
        </w:rPr>
        <w:t> </w:t>
      </w:r>
      <w:r>
        <w:rPr>
          <w:rFonts w:eastAsia="Times New Roman"/>
          <w:szCs w:val="24"/>
          <w:lang w:eastAsia="hu-HU"/>
        </w:rPr>
        <w:br/>
      </w:r>
      <w:r>
        <w:rPr>
          <w:rFonts w:eastAsia="Times New Roman"/>
          <w:b/>
          <w:bCs/>
          <w:szCs w:val="24"/>
          <w:lang w:eastAsia="hu-HU"/>
        </w:rPr>
        <w:t>A Talajterhelési díj</w:t>
      </w:r>
      <w:r>
        <w:rPr>
          <w:rFonts w:eastAsia="Times New Roman"/>
          <w:szCs w:val="24"/>
          <w:lang w:eastAsia="hu-HU"/>
        </w:rPr>
        <w:t>, melynek megállapítása a 2015. január 1-től 2015. december 31-ig bevallás alapján elfogyasztott vízmennyiség alapján került kiszabásra.</w:t>
        <w:br/>
        <w:t>A talajterhelési díj mértéke: 1200,- Ft/m3 X 1,5-es területérzékenységi szorzó, így 1800 Ft/m3</w:t>
        <w:br/>
        <w:t> </w:t>
      </w:r>
    </w:p>
    <w:p>
      <w:pPr>
        <w:pStyle w:val="Normal"/>
        <w:rPr/>
      </w:pPr>
      <w:r>
        <w:rPr>
          <w:rFonts w:eastAsia="Times New Roman"/>
          <w:szCs w:val="24"/>
          <w:lang w:eastAsia="hu-HU"/>
        </w:rPr>
        <w:t>A bevétel alakulása:</w:t>
      </w:r>
    </w:p>
    <w:tbl>
      <w:tblPr>
        <w:tblW w:w="6180" w:type="dxa"/>
        <w:jc w:val="left"/>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8" w:type="dxa"/>
          <w:bottom w:w="0" w:type="dxa"/>
          <w:right w:w="108" w:type="dxa"/>
        </w:tblCellMar>
        <w:tblLook w:firstRow="1" w:noVBand="0" w:lastRow="1" w:firstColumn="1" w:lastColumn="1" w:noHBand="0" w:val="01e0"/>
      </w:tblPr>
      <w:tblGrid>
        <w:gridCol w:w="854"/>
        <w:gridCol w:w="1695"/>
        <w:gridCol w:w="3631"/>
      </w:tblGrid>
      <w:tr>
        <w:trPr/>
        <w:tc>
          <w:tcPr>
            <w:tcW w:w="8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 </w:t>
            </w:r>
          </w:p>
        </w:tc>
        <w:tc>
          <w:tcPr>
            <w:tcW w:w="1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Tervezett</w:t>
            </w:r>
          </w:p>
        </w:tc>
        <w:tc>
          <w:tcPr>
            <w:tcW w:w="3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Teljesített</w:t>
            </w:r>
          </w:p>
        </w:tc>
      </w:tr>
      <w:tr>
        <w:trPr/>
        <w:tc>
          <w:tcPr>
            <w:tcW w:w="8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2017</w:t>
            </w:r>
          </w:p>
        </w:tc>
        <w:tc>
          <w:tcPr>
            <w:tcW w:w="1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600.000 Ft</w:t>
            </w:r>
          </w:p>
        </w:tc>
        <w:tc>
          <w:tcPr>
            <w:tcW w:w="3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251.085,-Ft (2017. aug. 14-ig)</w:t>
            </w:r>
          </w:p>
        </w:tc>
      </w:tr>
    </w:tbl>
    <w:p>
      <w:pPr>
        <w:pStyle w:val="Normal"/>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 xml:space="preserve">A bevétel alakulásához nagyban hozzájárul, hogy az érintett lakosok a többszöri felszólítás ellenére </w:t>
      </w:r>
      <w:r>
        <w:rPr>
          <w:rFonts w:eastAsia="Times New Roman"/>
          <w:szCs w:val="24"/>
          <w:lang w:eastAsia="hu-HU"/>
        </w:rPr>
        <w:t xml:space="preserve">még </w:t>
      </w:r>
      <w:r>
        <w:rPr>
          <w:rFonts w:eastAsia="Times New Roman"/>
          <w:szCs w:val="24"/>
          <w:lang w:eastAsia="hu-HU"/>
        </w:rPr>
        <w:t xml:space="preserve">bevallási kötelezettségüket </w:t>
      </w:r>
      <w:r>
        <w:rPr>
          <w:rFonts w:eastAsia="Times New Roman"/>
          <w:szCs w:val="24"/>
          <w:lang w:eastAsia="hu-HU"/>
        </w:rPr>
        <w:t>sem teljesítik.</w:t>
      </w:r>
    </w:p>
    <w:p>
      <w:pPr>
        <w:pStyle w:val="Normal"/>
        <w:jc w:val="both"/>
        <w:rPr>
          <w:rFonts w:eastAsia="Times New Roman"/>
          <w:szCs w:val="24"/>
          <w:lang w:eastAsia="hu-HU"/>
        </w:rPr>
      </w:pPr>
      <w:r>
        <w:rPr>
          <w:rFonts w:eastAsia="Times New Roman"/>
          <w:szCs w:val="24"/>
          <w:lang w:eastAsia="hu-HU"/>
        </w:rPr>
      </w:r>
    </w:p>
    <w:p>
      <w:pPr>
        <w:pStyle w:val="Normal"/>
        <w:jc w:val="both"/>
        <w:rPr/>
      </w:pPr>
      <w:r>
        <w:rPr>
          <w:rFonts w:eastAsia="Times New Roman"/>
          <w:szCs w:val="24"/>
          <w:lang w:eastAsia="hu-HU"/>
        </w:rPr>
        <w:t xml:space="preserve">Az </w:t>
      </w:r>
      <w:r>
        <w:rPr>
          <w:rFonts w:eastAsia="Times New Roman"/>
          <w:b/>
          <w:szCs w:val="24"/>
          <w:lang w:eastAsia="hu-HU"/>
        </w:rPr>
        <w:t xml:space="preserve">idegenforgalmi adó - a </w:t>
      </w:r>
      <w:r>
        <w:rPr>
          <w:rFonts w:eastAsia="Times New Roman"/>
          <w:szCs w:val="24"/>
          <w:lang w:eastAsia="hu-HU"/>
        </w:rPr>
        <w:t xml:space="preserve">3/2017. ( III..23.) Önkormányzati rendeletével bevezetve 2017. május 1-től  - melynek megállapítása: az adó alapja a megkezdett vendégéjszakák száma. Az </w:t>
      </w:r>
      <w:bookmarkStart w:id="2" w:name="_GoBack3"/>
      <w:bookmarkEnd w:id="2"/>
      <w:r>
        <w:rPr>
          <w:rFonts w:eastAsia="Times New Roman"/>
          <w:szCs w:val="24"/>
          <w:lang w:eastAsia="hu-HU"/>
        </w:rPr>
        <w:t>adó mértéke személyenként és vendégéjszakánként 300,- Ft.</w:t>
      </w:r>
    </w:p>
    <w:p>
      <w:pPr>
        <w:pStyle w:val="Normal"/>
        <w:jc w:val="both"/>
        <w:rPr>
          <w:rFonts w:eastAsia="Times New Roman"/>
          <w:szCs w:val="24"/>
          <w:lang w:eastAsia="hu-HU"/>
        </w:rPr>
      </w:pPr>
      <w:r>
        <w:rPr>
          <w:rFonts w:eastAsia="Times New Roman"/>
          <w:szCs w:val="24"/>
          <w:lang w:eastAsia="hu-HU"/>
        </w:rPr>
      </w:r>
    </w:p>
    <w:p>
      <w:pPr>
        <w:pStyle w:val="Normal"/>
        <w:rPr/>
      </w:pPr>
      <w:r>
        <w:rPr>
          <w:rFonts w:eastAsia="Times New Roman"/>
          <w:szCs w:val="24"/>
          <w:lang w:eastAsia="hu-HU"/>
        </w:rPr>
        <w:t>A bevétel alakulása:</w:t>
      </w:r>
    </w:p>
    <w:tbl>
      <w:tblPr>
        <w:tblW w:w="6180" w:type="dxa"/>
        <w:jc w:val="left"/>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8" w:type="dxa"/>
          <w:bottom w:w="0" w:type="dxa"/>
          <w:right w:w="108" w:type="dxa"/>
        </w:tblCellMar>
        <w:tblLook w:firstRow="1" w:noVBand="0" w:lastRow="1" w:firstColumn="1" w:lastColumn="1" w:noHBand="0" w:val="01e0"/>
      </w:tblPr>
      <w:tblGrid>
        <w:gridCol w:w="854"/>
        <w:gridCol w:w="1695"/>
        <w:gridCol w:w="3631"/>
      </w:tblGrid>
      <w:tr>
        <w:trPr/>
        <w:tc>
          <w:tcPr>
            <w:tcW w:w="8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 </w:t>
            </w:r>
          </w:p>
        </w:tc>
        <w:tc>
          <w:tcPr>
            <w:tcW w:w="1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Tervezett</w:t>
            </w:r>
          </w:p>
        </w:tc>
        <w:tc>
          <w:tcPr>
            <w:tcW w:w="3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Teljesített</w:t>
            </w:r>
          </w:p>
        </w:tc>
      </w:tr>
      <w:tr>
        <w:trPr/>
        <w:tc>
          <w:tcPr>
            <w:tcW w:w="8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2017</w:t>
            </w:r>
          </w:p>
        </w:tc>
        <w:tc>
          <w:tcPr>
            <w:tcW w:w="1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w:t>
            </w:r>
          </w:p>
        </w:tc>
        <w:tc>
          <w:tcPr>
            <w:tcW w:w="36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Fonts w:eastAsia="Times New Roman"/>
                <w:szCs w:val="24"/>
                <w:lang w:eastAsia="hu-HU"/>
              </w:rPr>
              <w:t>49.800,-Ft (2017. aug. 14-ig)</w:t>
            </w:r>
          </w:p>
        </w:tc>
      </w:tr>
    </w:tbl>
    <w:p>
      <w:pPr>
        <w:pStyle w:val="Normal"/>
        <w:rPr>
          <w:rFonts w:eastAsia="Times New Roman"/>
          <w:szCs w:val="24"/>
          <w:lang w:eastAsia="hu-HU"/>
        </w:rPr>
      </w:pPr>
      <w:r>
        <w:rPr>
          <w:rFonts w:eastAsia="Times New Roman"/>
          <w:szCs w:val="24"/>
          <w:lang w:eastAsia="hu-HU"/>
        </w:rPr>
      </w:r>
    </w:p>
    <w:p>
      <w:pPr>
        <w:pStyle w:val="Normal"/>
        <w:rPr>
          <w:rFonts w:eastAsia="Times New Roman"/>
          <w:szCs w:val="24"/>
          <w:lang w:eastAsia="hu-HU"/>
        </w:rPr>
      </w:pPr>
      <w:r>
        <w:rPr>
          <w:rFonts w:eastAsia="Times New Roman"/>
          <w:szCs w:val="24"/>
          <w:lang w:eastAsia="hu-HU"/>
        </w:rPr>
      </w:r>
    </w:p>
    <w:p>
      <w:pPr>
        <w:pStyle w:val="Normal"/>
        <w:rPr/>
      </w:pPr>
      <w:r>
        <w:rPr>
          <w:rFonts w:eastAsia="Times New Roman"/>
          <w:b/>
          <w:szCs w:val="24"/>
          <w:lang w:eastAsia="hu-HU"/>
        </w:rPr>
        <w:t>Adók módjára történő behajtások</w:t>
      </w:r>
    </w:p>
    <w:p>
      <w:pPr>
        <w:pStyle w:val="Normal"/>
        <w:jc w:val="both"/>
        <w:rPr/>
      </w:pPr>
      <w:r>
        <w:rPr>
          <w:rFonts w:eastAsia="Times New Roman"/>
          <w:bCs/>
          <w:szCs w:val="24"/>
          <w:lang w:eastAsia="hu-HU"/>
        </w:rPr>
        <w:t xml:space="preserve">Az adózás rendjéről szóló 2003. évi XCII. törvény (Art.) 161. § (1) bekezdése szerint: </w:t>
      </w:r>
      <w:r>
        <w:rPr>
          <w:rFonts w:eastAsia="Times New Roman"/>
          <w:bCs/>
          <w:i/>
          <w:szCs w:val="24"/>
          <w:lang w:eastAsia="hu-HU"/>
        </w:rPr>
        <w:t xml:space="preserve">„Az adók módjára behajtandó köztartozásnak minősülő fizetési kötelezettséget megállapító, nyilvántartó szerv, illetőleg a köztartozás jogosultja a fizetési határidő lejártát követő 15 nap elteltével megkeresi az adóhatóságot behajtás végett, ha a köztartozás összege eléri vagy meghaladja a 10.000 Ft-ot.” </w:t>
      </w:r>
    </w:p>
    <w:p>
      <w:pPr>
        <w:pStyle w:val="Normal"/>
        <w:jc w:val="both"/>
        <w:rPr/>
      </w:pPr>
      <w:r>
        <w:rPr>
          <w:rFonts w:eastAsia="Times New Roman"/>
          <w:bCs/>
          <w:szCs w:val="24"/>
          <w:lang w:eastAsia="hu-HU"/>
        </w:rPr>
        <w:t> </w:t>
      </w:r>
    </w:p>
    <w:p>
      <w:pPr>
        <w:pStyle w:val="Normal"/>
        <w:jc w:val="both"/>
        <w:rPr/>
      </w:pPr>
      <w:r>
        <w:rPr>
          <w:rFonts w:eastAsia="Times New Roman"/>
          <w:szCs w:val="24"/>
          <w:lang w:eastAsia="hu-HU"/>
        </w:rPr>
        <w:t xml:space="preserve">A </w:t>
      </w:r>
      <w:r>
        <w:rPr>
          <w:rFonts w:eastAsia="Times New Roman"/>
          <w:i/>
          <w:iCs/>
          <w:szCs w:val="24"/>
          <w:lang w:eastAsia="hu-HU"/>
        </w:rPr>
        <w:t>helyszíni, illetve szabálysértési bírság</w:t>
      </w:r>
      <w:r>
        <w:rPr>
          <w:rFonts w:eastAsia="Times New Roman"/>
          <w:szCs w:val="24"/>
          <w:lang w:eastAsia="hu-HU"/>
        </w:rPr>
        <w:t xml:space="preserve"> behajtásából származó pénzösszegek, amennyiben befizetésre kerülnek, 100%-ban az önkormányzat bevételeit képezik.</w:t>
      </w:r>
    </w:p>
    <w:p>
      <w:pPr>
        <w:pStyle w:val="Normal"/>
        <w:jc w:val="both"/>
        <w:rPr/>
      </w:pPr>
      <w:r>
        <w:rPr>
          <w:rFonts w:eastAsia="Times New Roman"/>
          <w:szCs w:val="24"/>
          <w:lang w:eastAsia="hu-HU"/>
        </w:rPr>
        <w:t>Az új szabálysértési törvény 2012. április 15-én lépett hatályba. A törvény hatálybalépése óta kiszabott szabálysértési bírság és helyszíni bírság nem adható át az önkormányzati adóhatóságnak behajtásra. A 2012. április 15. előtt kiszabott és behajtásra átadott bírságokból származó bevétel elenyésző.</w:t>
      </w:r>
    </w:p>
    <w:p>
      <w:pPr>
        <w:pStyle w:val="Normal"/>
        <w:jc w:val="both"/>
        <w:rPr/>
      </w:pPr>
      <w:r>
        <w:rPr>
          <w:rFonts w:eastAsia="Times New Roman"/>
          <w:szCs w:val="24"/>
          <w:lang w:eastAsia="hu-HU"/>
        </w:rPr>
        <w:t xml:space="preserve">A közlekedési szabályszegések után kiszabott </w:t>
      </w:r>
      <w:r>
        <w:rPr>
          <w:rFonts w:eastAsia="Times New Roman"/>
          <w:i/>
          <w:szCs w:val="24"/>
          <w:lang w:eastAsia="hu-HU"/>
        </w:rPr>
        <w:t>közigazgatási bírság</w:t>
      </w:r>
      <w:r>
        <w:rPr>
          <w:rFonts w:eastAsia="Times New Roman"/>
          <w:szCs w:val="24"/>
          <w:lang w:eastAsia="hu-HU"/>
        </w:rPr>
        <w:t>ok esetén a befizetett összegnek 40%-a marad az önkormányzatnál, a befizetett összeg 60%-át tovább kell utalni a bírságot kiszabó hatóság felé.</w:t>
      </w:r>
    </w:p>
    <w:p>
      <w:pPr>
        <w:pStyle w:val="Normal"/>
        <w:jc w:val="both"/>
        <w:rPr/>
      </w:pPr>
      <w:r>
        <w:rPr>
          <w:rFonts w:eastAsia="Times New Roman"/>
          <w:szCs w:val="24"/>
          <w:lang w:eastAsia="hu-HU"/>
        </w:rPr>
        <w:t> </w:t>
      </w:r>
      <w:r>
        <w:rPr>
          <w:rFonts w:eastAsia="Times New Roman"/>
          <w:szCs w:val="24"/>
          <w:lang w:eastAsia="hu-HU"/>
        </w:rPr>
        <w:t>Azon hátralékosok, akik fizetési hajlandóságot mutatnak tartozásuk kiegyenlítése érdekében, havi részletekben fizetnek. Azon hátralékosok esetében, akik a fizetési felszólítás ellenére sem hajlandóak fizetni, a fennálló hátralékot jövedelemből történő letiltással amennyiben persze az adózó letiltható jövedelemmel rendelkezik), valamint inkasszóval csökkentjük.</w:t>
      </w:r>
    </w:p>
    <w:p>
      <w:pPr>
        <w:pStyle w:val="Normal"/>
        <w:jc w:val="both"/>
        <w:rPr/>
      </w:pPr>
      <w:r>
        <w:rPr>
          <w:rFonts w:eastAsia="Times New Roman"/>
          <w:szCs w:val="24"/>
          <w:lang w:eastAsia="hu-HU"/>
        </w:rPr>
        <w:t>Fentieken túl az adók módjára történő behajtás körébe tartoznak még: földhivatali szolgáltatási díj, tűzvédelmi bírság, eljárási bírság (okmányiroda, földhivatal, környezetvédelmi hatóság által kiszabott) jogi segítségnyújtó szolgálat díjának behajtása.</w:t>
      </w:r>
    </w:p>
    <w:p>
      <w:pPr>
        <w:pStyle w:val="Normal"/>
        <w:jc w:val="both"/>
        <w:rPr/>
      </w:pPr>
      <w:r>
        <w:rPr>
          <w:rFonts w:eastAsia="Times New Roman"/>
          <w:szCs w:val="24"/>
          <w:lang w:eastAsia="hu-HU"/>
        </w:rPr>
        <w:t> </w:t>
      </w:r>
      <w:r>
        <w:rPr>
          <w:rFonts w:eastAsia="Times New Roman"/>
          <w:szCs w:val="24"/>
          <w:lang w:eastAsia="hu-HU"/>
        </w:rPr>
        <w:t xml:space="preserve">Mindezeken kívül </w:t>
      </w:r>
      <w:r>
        <w:rPr>
          <w:rFonts w:eastAsia="Times New Roman"/>
          <w:color w:val="003300"/>
          <w:szCs w:val="24"/>
          <w:lang w:eastAsia="hu-HU"/>
        </w:rPr>
        <w:t xml:space="preserve">20-30 </w:t>
      </w:r>
      <w:r>
        <w:rPr>
          <w:rFonts w:eastAsia="Times New Roman"/>
          <w:szCs w:val="24"/>
          <w:lang w:eastAsia="hu-HU"/>
        </w:rPr>
        <w:t xml:space="preserve">db adó- és értékbizonyítványt állítunk ki gyámhivatali, (pót)hagyatéki és végrehajtási ügyekben; </w:t>
      </w:r>
      <w:r>
        <w:rPr>
          <w:rFonts w:eastAsia="Times New Roman"/>
          <w:color w:val="000000"/>
          <w:szCs w:val="24"/>
          <w:lang w:eastAsia="hu-HU"/>
        </w:rPr>
        <w:t>5-10</w:t>
      </w:r>
      <w:r>
        <w:rPr>
          <w:rFonts w:eastAsia="Times New Roman"/>
          <w:color w:val="FF6666"/>
          <w:szCs w:val="24"/>
          <w:lang w:eastAsia="hu-HU"/>
        </w:rPr>
        <w:t xml:space="preserve"> </w:t>
      </w:r>
      <w:r>
        <w:rPr>
          <w:rFonts w:eastAsia="Times New Roman"/>
          <w:szCs w:val="24"/>
          <w:lang w:eastAsia="hu-HU"/>
        </w:rPr>
        <w:t xml:space="preserve">db vagyoni helyzetről szóló igazolás került kiállításra a rendőrségnek, illetve a törvényszéknek, továbbá </w:t>
      </w:r>
      <w:r>
        <w:rPr>
          <w:rFonts w:eastAsia="Times New Roman"/>
          <w:color w:val="003333"/>
          <w:szCs w:val="24"/>
          <w:lang w:eastAsia="hu-HU"/>
        </w:rPr>
        <w:t>10-15</w:t>
      </w:r>
      <w:r>
        <w:rPr>
          <w:rFonts w:eastAsia="Times New Roman"/>
          <w:szCs w:val="24"/>
          <w:lang w:eastAsia="hu-HU"/>
        </w:rPr>
        <w:t xml:space="preserve"> db illetékköteles nemleges adóigazolást állítottunk ki az ügyfelek részére (pályázathoz, hitelfelvételhez).</w:t>
      </w:r>
    </w:p>
    <w:p>
      <w:pPr>
        <w:pStyle w:val="Normal"/>
        <w:rPr>
          <w:rFonts w:eastAsia="Calibri"/>
          <w:szCs w:val="24"/>
        </w:rPr>
      </w:pPr>
      <w:r>
        <w:rPr>
          <w:rFonts w:eastAsia="Calibri"/>
          <w:szCs w:val="24"/>
        </w:rPr>
      </w:r>
    </w:p>
    <w:p>
      <w:pPr>
        <w:pStyle w:val="Normal"/>
        <w:jc w:val="both"/>
        <w:rPr>
          <w:rFonts w:eastAsia="Calibri"/>
          <w:szCs w:val="24"/>
        </w:rPr>
      </w:pPr>
      <w:r>
        <w:rPr>
          <w:rFonts w:eastAsia="Calibri"/>
          <w:b/>
          <w:szCs w:val="24"/>
          <w:lang w:eastAsia="hu-HU"/>
        </w:rPr>
        <w:t>Adó bevételi számláinkon fennálló hátralék összege jelenleg nem mutat reális összeget, mivel az adózói befizetések határideje pótlékmentesen szeptember 15-ig esedékesek.</w:t>
      </w:r>
    </w:p>
    <w:p>
      <w:pPr>
        <w:pStyle w:val="Normal"/>
        <w:jc w:val="both"/>
        <w:rPr>
          <w:rFonts w:eastAsia="Calibri"/>
          <w:b/>
          <w:b/>
          <w:szCs w:val="24"/>
        </w:rPr>
      </w:pPr>
      <w:r>
        <w:rPr>
          <w:rFonts w:eastAsia="Calibri"/>
          <w:b/>
          <w:szCs w:val="24"/>
        </w:rPr>
      </w:r>
    </w:p>
    <w:p>
      <w:pPr>
        <w:pStyle w:val="Normal"/>
        <w:jc w:val="both"/>
        <w:rPr>
          <w:rFonts w:eastAsia="Calibri"/>
          <w:b/>
          <w:b/>
          <w:szCs w:val="24"/>
        </w:rPr>
      </w:pPr>
      <w:r>
        <w:rPr>
          <w:rFonts w:eastAsia="Calibri"/>
          <w:b/>
          <w:szCs w:val="24"/>
        </w:rPr>
      </w:r>
    </w:p>
    <w:p>
      <w:pPr>
        <w:pStyle w:val="Normal"/>
        <w:rPr/>
      </w:pPr>
      <w:r>
        <w:rPr>
          <w:rFonts w:eastAsia="Calibri"/>
          <w:b/>
          <w:szCs w:val="24"/>
        </w:rPr>
        <w:t>Pénzügy:</w:t>
      </w:r>
    </w:p>
    <w:p>
      <w:pPr>
        <w:pStyle w:val="Normal"/>
        <w:rPr>
          <w:rFonts w:eastAsia="Calibri"/>
          <w:szCs w:val="24"/>
        </w:rPr>
      </w:pPr>
      <w:r>
        <w:rPr>
          <w:rFonts w:eastAsia="Calibri"/>
          <w:szCs w:val="24"/>
        </w:rPr>
      </w:r>
    </w:p>
    <w:p>
      <w:pPr>
        <w:pStyle w:val="Normal"/>
        <w:jc w:val="both"/>
        <w:rPr/>
      </w:pPr>
      <w:r>
        <w:rPr>
          <w:szCs w:val="24"/>
        </w:rPr>
        <w:t>Gádoros Nagyközség Önkormányzat Képviselő-testületének Polgármesteri Hivatal pénzügyi csoportjában a pénzügyi feladatokat jelenleg 3 fő könyvelő és 1 fő pénztáros látja el.</w:t>
      </w:r>
    </w:p>
    <w:p>
      <w:pPr>
        <w:pStyle w:val="Normal"/>
        <w:jc w:val="both"/>
        <w:rPr/>
      </w:pPr>
      <w:r>
        <w:rPr>
          <w:szCs w:val="24"/>
        </w:rPr>
        <w:t>Fő feladataink közé tartoznak: havi pénzforgalmi jelentések, negyedévente mérlegjelentések, költségvetési és zárszámadási feladatok, banki utalások és készpénzes forgalom lebonyolítása, nyilvántartások és számviteli analitikák vezetése, statisztikák, jelentések, havi ÁFA bevallások elkészítése.</w:t>
      </w:r>
    </w:p>
    <w:p>
      <w:pPr>
        <w:pStyle w:val="Normal"/>
        <w:jc w:val="both"/>
        <w:rPr/>
      </w:pPr>
      <w:r>
        <w:rPr>
          <w:szCs w:val="24"/>
        </w:rPr>
        <w:t>2012-ben jogszabályi változás miatt az Önkormányzat és intézményeinek (a hivatalt is külön intézményként kezelve) gazdálkodását szét kellett választani. 2014 óta minden hónapban pénzforgalmi jelentést, negyedévente mérlegjelentést kell készíteni az Államkincstár felé, amit főkönyvi kivonattal kell alátámasztani.</w:t>
      </w:r>
    </w:p>
    <w:p>
      <w:pPr>
        <w:pStyle w:val="Normal"/>
        <w:jc w:val="both"/>
        <w:rPr/>
      </w:pPr>
      <w:r>
        <w:rPr>
          <w:szCs w:val="24"/>
        </w:rPr>
        <w:t xml:space="preserve">A legjelentősebb változást a 2014. év hozta el: a 4/2013. (I.11.) Kormányrendeletnek megfelelően a költségvetési számvitel gyökeresen megváltozott. Ennek okán a költségvetési szerveknek alaptevékenységük besorolása - a szakfeladat - helyett kormányzati funkciókat kell alkalmazni. A változás célja, hogy az elszámolás módja egységessé váljon a költségvetési területen, valamint az eddigi pénzforgalmi szemléletet az eredményszemléletű gazdálkodás váltotta fel. Mindez magával hozta új könyvelési rendszer használatát, mely igencsak nagy változás az eddig használt programokhoz képest. </w:t>
      </w:r>
    </w:p>
    <w:p>
      <w:pPr>
        <w:pStyle w:val="Normal"/>
        <w:jc w:val="both"/>
        <w:rPr/>
      </w:pPr>
      <w:r>
        <w:rPr>
          <w:szCs w:val="24"/>
        </w:rPr>
        <w:t>2017. évtől az ASP rendszeren keresztül folyik a könyvelés. Ez nagy terhet ró a pénzügyi csoport tagjaira. Nyolc nap állt a rendelkezésünkre, hogy megpróbáljuk elsajátítani az új program használatát. Jelenleg is nagy erőbedobással könyvelünk, hogy utolérjük magunkat, hiszen a Magyar Államkincstár rögtön küldi a bírságoló leveleket. Természetesen ebben a programban egy könyvelési esemény lekönyvelése bonyolultabb, több időt vesz igénybe, mint az előző programmal. Tehát mondhatom, hogy nem könnyítették meg a feladatunkat. Az új programmal csak március végén tudtunk elkezdeni könyvelni, mivel addig a 2016. évet zártuk. 2017.augusztus 29.én kelt Magyar Államkincstár levelében a 07. havi adatszolgáltatás nem teljesítése miatt 850.000 forint bírságot szabtak ki, melyet megkifogásoltuk azzal az indoklással, hogy 2017. szeptember 16-ig teljesítjük az adatszolgáltatást. Jelen napig 1.650.000 forint bírságot sikerült töröltetnünk.</w:t>
      </w:r>
    </w:p>
    <w:p>
      <w:pPr>
        <w:pStyle w:val="Normal"/>
        <w:jc w:val="both"/>
        <w:rPr/>
      </w:pPr>
      <w:r>
        <w:rPr>
          <w:szCs w:val="24"/>
        </w:rPr>
        <w:t xml:space="preserve">2016.évben a Magyar Államkincstár ellenőrizte  az önkormányzatnál és az irányítása alá tartozó intézményeknél, valamint a Roma Nemzetiségi Önkormányzatnál 2015.évi könyvvezetését adatszolgáltatását. A csoport részére plusz feladatot jelentett. Módosítani kell a hivatal és intézmények gazdálkodását meghatározó szabályzatait. A megállapított hibák javítása folyamatban van, a Képviselő-testület által is tárgyalt ismert intézkedési terv alapján. </w:t>
      </w:r>
    </w:p>
    <w:p>
      <w:pPr>
        <w:pStyle w:val="Normal"/>
        <w:jc w:val="both"/>
        <w:rPr/>
      </w:pPr>
      <w:r>
        <w:rPr>
          <w:szCs w:val="24"/>
        </w:rPr>
        <w:t>Jelentősen megkönnyíti a napi kapcsolattartást, adatszolgáltatást és jelentések megküldését az Államkincstárnak az elektronikus kapcsolattartás (eAdat, Önegm, KGR, ebr42 rendszer használata). Gyorsan, egyszerűen lehet elküldeni az adatokat. Hátránya, hogy gyakran másnapra, vagy azonnali adatszolgáltatást kell teljesíteni, valamint hogy a postai úton történő továbbítást nem helyettesíti, vagyis papíralapon is be kell nyújtani az Államkincstár felé.</w:t>
      </w:r>
    </w:p>
    <w:p>
      <w:pPr>
        <w:pStyle w:val="Normal"/>
        <w:jc w:val="both"/>
        <w:rPr/>
      </w:pPr>
      <w:r>
        <w:rPr>
          <w:szCs w:val="24"/>
        </w:rPr>
        <w:t xml:space="preserve">A költségvetés elkészítése fontos és nehéz feladat minden önkormányzatnak és intézményeinek. Elkészítését gondos tervezés és az intézményekkel összehangolt munka előzi meg. </w:t>
      </w:r>
    </w:p>
    <w:p>
      <w:pPr>
        <w:pStyle w:val="Normal"/>
        <w:jc w:val="both"/>
        <w:rPr/>
      </w:pPr>
      <w:r>
        <w:rPr>
          <w:szCs w:val="24"/>
        </w:rPr>
        <w:t>A BM által indított kistérségi startmunka programhoz önkormányzatunk is csatlakozott a foglalkoztatás növelése érdekében. Az eszközbeszerzéssel, dologi kiadásokkal kapcsolatos kiadások nyilvántartása, az elszámolások, nyilvántartások vezetése is a pénzügy feladata. A Munkaügyi Központ felé havonta kell továbbítani az elszámolásokat, és rendszeresen kell adatokat szolgáltatni a programban leírt teljesítendő feladatok helyzetéről.</w:t>
      </w:r>
    </w:p>
    <w:p>
      <w:pPr>
        <w:pStyle w:val="Normal"/>
        <w:jc w:val="both"/>
        <w:rPr/>
      </w:pPr>
      <w:r>
        <w:rPr>
          <w:szCs w:val="24"/>
        </w:rPr>
        <w:t>A rendszeres gyermekvédelmi kedvezmény kifizetésének formája 2012. évtől kezdődően Erzsébet- utalvány formájában történik, évente két alkalommal augusztus és november hónapban</w:t>
      </w:r>
      <w:r>
        <w:rPr>
          <w:b/>
          <w:szCs w:val="24"/>
        </w:rPr>
        <w:t xml:space="preserve">. </w:t>
      </w:r>
      <w:r>
        <w:rPr>
          <w:szCs w:val="24"/>
        </w:rPr>
        <w:t>Az augusztusi kifizetés 239 gyermeket érintett.</w:t>
      </w:r>
    </w:p>
    <w:p>
      <w:pPr>
        <w:pStyle w:val="Normal"/>
        <w:jc w:val="both"/>
        <w:rPr>
          <w:szCs w:val="24"/>
        </w:rPr>
      </w:pPr>
      <w:r>
        <w:rPr>
          <w:szCs w:val="24"/>
        </w:rPr>
      </w:r>
    </w:p>
    <w:p>
      <w:pPr>
        <w:pStyle w:val="Normal"/>
        <w:jc w:val="both"/>
        <w:rPr/>
      </w:pPr>
      <w:r>
        <w:rPr>
          <w:szCs w:val="24"/>
        </w:rPr>
        <w:t xml:space="preserve">Kiírásra került a „Tüzelőanyag vásárlás 2017” pályázat. Az előző évekhez hasonlóan benyújtottuk a pályázatot, és várjuk pozitív elbírálását. Öt TOP-os pályázatot nyertünk meg az idén. </w:t>
      </w:r>
    </w:p>
    <w:p>
      <w:pPr>
        <w:pStyle w:val="Norml1"/>
        <w:numPr>
          <w:ilvl w:val="0"/>
          <w:numId w:val="3"/>
        </w:numPr>
        <w:rPr/>
      </w:pPr>
      <w:r>
        <w:rPr>
          <w:rFonts w:cs="Times New Roman" w:ascii="Times New Roman" w:hAnsi="Times New Roman"/>
          <w:sz w:val="24"/>
          <w:szCs w:val="24"/>
        </w:rPr>
        <w:t>„</w:t>
      </w:r>
      <w:r>
        <w:rPr>
          <w:rFonts w:cs="Times New Roman" w:ascii="Times New Roman" w:hAnsi="Times New Roman"/>
          <w:sz w:val="24"/>
          <w:szCs w:val="24"/>
          <w:shd w:fill="FFFFFF" w:val="clear"/>
        </w:rPr>
        <w:t xml:space="preserve">Piac gazdaságfejlesztése Gádoroson” című TOP-1.1.3-15-BS1-2016-00041 </w:t>
      </w:r>
      <w:r>
        <w:rPr>
          <w:rFonts w:cs="Times New Roman" w:ascii="Times New Roman" w:hAnsi="Times New Roman"/>
          <w:sz w:val="24"/>
          <w:szCs w:val="24"/>
        </w:rPr>
        <w:t xml:space="preserve">azonosító számú projekt; </w:t>
      </w:r>
      <w:r>
        <w:rPr>
          <w:rFonts w:cs="Times New Roman" w:ascii="Times New Roman" w:hAnsi="Times New Roman"/>
          <w:sz w:val="24"/>
          <w:szCs w:val="24"/>
        </w:rPr>
        <w:t>s</w:t>
      </w:r>
      <w:r>
        <w:rPr>
          <w:rFonts w:cs="Times New Roman" w:ascii="Times New Roman" w:hAnsi="Times New Roman"/>
          <w:sz w:val="24"/>
          <w:szCs w:val="24"/>
        </w:rPr>
        <w:t xml:space="preserve">zerződött támogatás összege: </w:t>
      </w:r>
      <w:r>
        <w:rPr>
          <w:rFonts w:cs="Times New Roman" w:ascii="Times New Roman" w:hAnsi="Times New Roman"/>
          <w:b/>
          <w:sz w:val="24"/>
          <w:szCs w:val="24"/>
        </w:rPr>
        <w:t>41.458.540,- Ft</w:t>
      </w:r>
      <w:r>
        <w:rPr>
          <w:rFonts w:cs="Times New Roman" w:ascii="Times New Roman" w:hAnsi="Times New Roman"/>
          <w:sz w:val="24"/>
          <w:szCs w:val="24"/>
        </w:rPr>
        <w:t xml:space="preserve"> </w:t>
      </w:r>
    </w:p>
    <w:p>
      <w:pPr>
        <w:pStyle w:val="Norml1"/>
        <w:numPr>
          <w:ilvl w:val="0"/>
          <w:numId w:val="3"/>
        </w:numPr>
        <w:jc w:val="both"/>
        <w:rPr/>
      </w:pPr>
      <w:r>
        <w:rPr>
          <w:rFonts w:cs="Times New Roman" w:ascii="Times New Roman" w:hAnsi="Times New Roman"/>
          <w:sz w:val="24"/>
          <w:szCs w:val="24"/>
        </w:rPr>
        <w:t>„</w:t>
      </w:r>
      <w:r>
        <w:rPr>
          <w:rFonts w:cs="Times New Roman" w:ascii="Times New Roman" w:hAnsi="Times New Roman"/>
          <w:sz w:val="24"/>
          <w:szCs w:val="24"/>
          <w:shd w:fill="FFFFFF" w:val="clear"/>
        </w:rPr>
        <w:t xml:space="preserve">Gádoros Nagyközség Önkormányzata Képviselő-Testületének Napközi Otthonos Óvodája infrastrukturális fejlesztése című TOP-1.4.1-15-BS1-2016-00047 </w:t>
      </w:r>
      <w:r>
        <w:rPr>
          <w:rFonts w:cs="Times New Roman" w:ascii="Times New Roman" w:hAnsi="Times New Roman"/>
          <w:sz w:val="24"/>
          <w:szCs w:val="24"/>
        </w:rPr>
        <w:t xml:space="preserve">azonosító számú projekt; </w:t>
      </w:r>
      <w:r>
        <w:rPr>
          <w:rFonts w:cs="Times New Roman" w:ascii="Times New Roman" w:hAnsi="Times New Roman"/>
          <w:sz w:val="24"/>
          <w:szCs w:val="24"/>
        </w:rPr>
        <w:t>p</w:t>
      </w:r>
      <w:r>
        <w:rPr>
          <w:rStyle w:val="Ershangslyozs"/>
          <w:rFonts w:cs="Times New Roman" w:ascii="Times New Roman" w:hAnsi="Times New Roman"/>
          <w:b w:val="false"/>
          <w:bCs w:val="false"/>
          <w:sz w:val="24"/>
          <w:szCs w:val="24"/>
        </w:rPr>
        <w:t>rojekt tervezett, elszámolható összköltsége:</w:t>
      </w:r>
      <w:r>
        <w:rPr>
          <w:rStyle w:val="Ershangslyozs"/>
          <w:rFonts w:cs="Times New Roman" w:ascii="Calibri;sans-serif" w:hAnsi="Calibri;sans-serif"/>
          <w:sz w:val="24"/>
          <w:szCs w:val="24"/>
        </w:rPr>
        <w:t xml:space="preserve"> </w:t>
      </w:r>
      <w:r>
        <w:rPr>
          <w:rFonts w:cs="Times New Roman" w:ascii="Times New Roman" w:hAnsi="Times New Roman"/>
          <w:sz w:val="24"/>
          <w:szCs w:val="24"/>
        </w:rPr>
        <w:t>50.000.000,</w:t>
      </w:r>
      <w:r>
        <w:rPr>
          <w:rFonts w:cs="Times New Roman" w:ascii="Times New Roman" w:hAnsi="Times New Roman"/>
          <w:sz w:val="24"/>
          <w:szCs w:val="24"/>
        </w:rPr>
        <w:t>-</w:t>
      </w:r>
      <w:r>
        <w:rPr>
          <w:rFonts w:cs="Times New Roman" w:ascii="Times New Roman" w:hAnsi="Times New Roman"/>
          <w:sz w:val="24"/>
          <w:szCs w:val="24"/>
        </w:rPr>
        <w:t xml:space="preserve"> Ft. </w:t>
      </w:r>
    </w:p>
    <w:p>
      <w:pPr>
        <w:pStyle w:val="Norml1"/>
        <w:numPr>
          <w:ilvl w:val="0"/>
          <w:numId w:val="3"/>
        </w:numPr>
        <w:jc w:val="both"/>
        <w:rPr/>
      </w:pPr>
      <w:r>
        <w:rPr>
          <w:rFonts w:cs="Times New Roman" w:ascii="Times New Roman" w:hAnsi="Times New Roman"/>
          <w:sz w:val="24"/>
          <w:szCs w:val="24"/>
        </w:rPr>
        <w:t>„</w:t>
      </w:r>
      <w:r>
        <w:rPr>
          <w:rFonts w:cs="Times New Roman" w:ascii="Times New Roman" w:hAnsi="Times New Roman"/>
          <w:sz w:val="24"/>
          <w:szCs w:val="24"/>
          <w:shd w:fill="FFFFFF" w:val="clear"/>
        </w:rPr>
        <w:t xml:space="preserve">Gádoros Polgármesteri Hivatal épületének energetikai felújítása” című TOP-3.2.1-15-BS1-2016-00030 </w:t>
      </w:r>
      <w:r>
        <w:rPr>
          <w:rFonts w:cs="Times New Roman" w:ascii="Times New Roman" w:hAnsi="Times New Roman"/>
          <w:sz w:val="24"/>
          <w:szCs w:val="24"/>
        </w:rPr>
        <w:t xml:space="preserve">azonosító számú projekt; </w:t>
      </w:r>
      <w:r>
        <w:rPr>
          <w:rFonts w:cs="Times New Roman" w:ascii="Times New Roman" w:hAnsi="Times New Roman"/>
          <w:sz w:val="24"/>
          <w:szCs w:val="24"/>
        </w:rPr>
        <w:t>s</w:t>
      </w:r>
      <w:r>
        <w:rPr>
          <w:rFonts w:cs="Times New Roman" w:ascii="Times New Roman" w:hAnsi="Times New Roman"/>
          <w:sz w:val="24"/>
          <w:szCs w:val="24"/>
        </w:rPr>
        <w:t xml:space="preserve">zerződött támogatás összege: </w:t>
      </w:r>
      <w:r>
        <w:rPr>
          <w:rFonts w:cs="Times New Roman" w:ascii="Times New Roman" w:hAnsi="Times New Roman"/>
          <w:b/>
          <w:sz w:val="24"/>
          <w:szCs w:val="24"/>
        </w:rPr>
        <w:t>95,10 millió Forint</w:t>
      </w:r>
      <w:r>
        <w:rPr>
          <w:rFonts w:cs="Times New Roman" w:ascii="Times New Roman" w:hAnsi="Times New Roman"/>
          <w:sz w:val="24"/>
          <w:szCs w:val="24"/>
        </w:rPr>
        <w:t xml:space="preserve"> </w:t>
      </w:r>
    </w:p>
    <w:p>
      <w:pPr>
        <w:pStyle w:val="Norml1"/>
        <w:numPr>
          <w:ilvl w:val="0"/>
          <w:numId w:val="3"/>
        </w:numPr>
        <w:jc w:val="both"/>
        <w:rPr/>
      </w:pPr>
      <w:r>
        <w:rPr>
          <w:rFonts w:cs="Times New Roman" w:ascii="Times New Roman" w:hAnsi="Times New Roman"/>
          <w:sz w:val="24"/>
          <w:szCs w:val="24"/>
        </w:rPr>
        <w:t>„</w:t>
      </w:r>
      <w:r>
        <w:rPr>
          <w:rFonts w:cs="Times New Roman" w:ascii="Times New Roman" w:hAnsi="Times New Roman"/>
          <w:sz w:val="24"/>
          <w:szCs w:val="24"/>
          <w:shd w:fill="FFFFFF" w:val="clear"/>
        </w:rPr>
        <w:t>Orvosi rendelő fejlesztése Gádoroson” című TOP-4.1.1-15-BS1-2016-00014</w:t>
      </w:r>
      <w:r>
        <w:rPr>
          <w:rFonts w:cs="Times New Roman" w:ascii="Times New Roman" w:hAnsi="Times New Roman"/>
          <w:sz w:val="24"/>
          <w:szCs w:val="24"/>
        </w:rPr>
        <w:t xml:space="preserve"> azonosító számú projekt; </w:t>
      </w:r>
      <w:r>
        <w:rPr>
          <w:rFonts w:cs="Times New Roman" w:ascii="Times New Roman" w:hAnsi="Times New Roman"/>
          <w:b w:val="false"/>
          <w:bCs w:val="false"/>
          <w:sz w:val="24"/>
          <w:szCs w:val="24"/>
        </w:rPr>
        <w:t>p</w:t>
      </w:r>
      <w:r>
        <w:rPr>
          <w:rStyle w:val="Ershangslyozs"/>
          <w:rFonts w:cs="Times New Roman" w:ascii="Times New Roman" w:hAnsi="Times New Roman"/>
          <w:b w:val="false"/>
          <w:bCs w:val="false"/>
          <w:sz w:val="24"/>
          <w:szCs w:val="24"/>
        </w:rPr>
        <w:t xml:space="preserve">rojekt tervezett, elszámolható összköltsége: </w:t>
      </w:r>
      <w:r>
        <w:rPr>
          <w:rFonts w:cs="Times New Roman" w:ascii="Times New Roman" w:hAnsi="Times New Roman"/>
          <w:sz w:val="24"/>
          <w:szCs w:val="24"/>
        </w:rPr>
        <w:t>37.631.966,</w:t>
      </w:r>
      <w:r>
        <w:rPr>
          <w:rFonts w:cs="Times New Roman" w:ascii="Times New Roman" w:hAnsi="Times New Roman"/>
          <w:sz w:val="24"/>
          <w:szCs w:val="24"/>
        </w:rPr>
        <w:t>-</w:t>
      </w:r>
      <w:r>
        <w:rPr>
          <w:rFonts w:cs="Times New Roman" w:ascii="Times New Roman" w:hAnsi="Times New Roman"/>
          <w:sz w:val="24"/>
          <w:szCs w:val="24"/>
        </w:rPr>
        <w:t xml:space="preserve"> Ft. </w:t>
      </w:r>
    </w:p>
    <w:p>
      <w:pPr>
        <w:pStyle w:val="Norml1"/>
        <w:numPr>
          <w:ilvl w:val="0"/>
          <w:numId w:val="3"/>
        </w:numPr>
        <w:jc w:val="both"/>
        <w:rPr/>
      </w:pPr>
      <w:r>
        <w:rPr>
          <w:rFonts w:cs="Times New Roman" w:ascii="Times New Roman" w:hAnsi="Times New Roman"/>
          <w:sz w:val="24"/>
          <w:szCs w:val="24"/>
        </w:rPr>
        <w:t>„</w:t>
      </w:r>
      <w:r>
        <w:rPr>
          <w:rFonts w:cs="Times New Roman" w:ascii="Times New Roman" w:hAnsi="Times New Roman"/>
          <w:sz w:val="24"/>
          <w:szCs w:val="24"/>
          <w:shd w:fill="FFFFFF" w:val="clear"/>
        </w:rPr>
        <w:t xml:space="preserve">Gondozási központ eszközfejlesztése Gádoroson” című TOP-4.2.1-15-BS1-2016-00035 </w:t>
      </w:r>
      <w:r>
        <w:rPr>
          <w:rFonts w:cs="Times New Roman" w:ascii="Times New Roman" w:hAnsi="Times New Roman"/>
          <w:sz w:val="24"/>
          <w:szCs w:val="24"/>
        </w:rPr>
        <w:t>azonosító számú projekt;</w:t>
      </w:r>
      <w:r>
        <w:rPr>
          <w:rFonts w:cs="Times New Roman" w:ascii="Times New Roman" w:hAnsi="Times New Roman"/>
          <w:sz w:val="24"/>
          <w:szCs w:val="24"/>
        </w:rPr>
        <w:t xml:space="preserve"> </w:t>
      </w:r>
      <w:r>
        <w:rPr>
          <w:rFonts w:cs="Times New Roman" w:ascii="Times New Roman" w:hAnsi="Times New Roman"/>
          <w:sz w:val="24"/>
          <w:szCs w:val="24"/>
        </w:rPr>
        <w:t>p</w:t>
      </w:r>
      <w:r>
        <w:rPr>
          <w:rStyle w:val="Ershangslyozs"/>
          <w:rFonts w:cs="Times New Roman" w:ascii="Times New Roman" w:hAnsi="Times New Roman"/>
          <w:b w:val="false"/>
          <w:bCs w:val="false"/>
          <w:sz w:val="24"/>
          <w:szCs w:val="24"/>
        </w:rPr>
        <w:t>rojekt tervezett, elszámolható összköltsége:</w:t>
      </w:r>
      <w:r>
        <w:rPr>
          <w:rStyle w:val="Ershangslyozs"/>
          <w:rFonts w:cs="Times New Roman" w:ascii="Times New Roman" w:hAnsi="Times New Roman"/>
          <w:sz w:val="24"/>
          <w:szCs w:val="24"/>
        </w:rPr>
        <w:t xml:space="preserve"> </w:t>
      </w:r>
      <w:r>
        <w:rPr>
          <w:rFonts w:cs="Times New Roman" w:ascii="Times New Roman" w:hAnsi="Times New Roman"/>
          <w:sz w:val="24"/>
          <w:szCs w:val="24"/>
        </w:rPr>
        <w:t>8.043.020,</w:t>
      </w:r>
      <w:r>
        <w:rPr>
          <w:rFonts w:cs="Times New Roman" w:ascii="Times New Roman" w:hAnsi="Times New Roman"/>
          <w:sz w:val="24"/>
          <w:szCs w:val="24"/>
        </w:rPr>
        <w:t>-</w:t>
      </w:r>
      <w:r>
        <w:rPr>
          <w:rFonts w:cs="Times New Roman" w:ascii="Times New Roman" w:hAnsi="Times New Roman"/>
          <w:sz w:val="24"/>
          <w:szCs w:val="24"/>
        </w:rPr>
        <w:t xml:space="preserve"> Ft. </w:t>
      </w:r>
    </w:p>
    <w:p>
      <w:pPr>
        <w:pStyle w:val="Normal"/>
        <w:jc w:val="both"/>
        <w:rPr/>
      </w:pPr>
      <w:r>
        <w:rPr>
          <w:rFonts w:cs="Times New Roman"/>
          <w:sz w:val="24"/>
          <w:szCs w:val="24"/>
        </w:rPr>
        <w:t>Ezen pályázatok külön nyilvántartása, könyvelése sok többlet munkát ró a pénzügyi csoport tagjaira.</w:t>
      </w:r>
    </w:p>
    <w:p>
      <w:pPr>
        <w:pStyle w:val="Normal"/>
        <w:jc w:val="both"/>
        <w:rPr/>
      </w:pPr>
      <w:r>
        <w:rPr>
          <w:szCs w:val="24"/>
        </w:rPr>
        <w:t>Az önkormányzati ingatlanok hasznosítása bérbeadása útján történik a bérleti díjak, (mely lakbér, garázsbér és üzleti célú helyiség bérleti díja) bevétele és a hátralékok nyilvántartása is a pénzügy feladata. Ide tartozik a lakáscélú kamatmentes kölcsönök, munkáltatói kölcsönök törlesztésének nyilvántartása, befizetésének kezelése is. A bérleti szerződések felülvizsgálata szükséges, mert a szerződések elavultak, és az évek során történt emeléseket nem tartalmazzák</w:t>
      </w:r>
    </w:p>
    <w:p>
      <w:pPr>
        <w:pStyle w:val="Normal"/>
        <w:jc w:val="both"/>
        <w:rPr/>
      </w:pPr>
      <w:r>
        <w:rPr>
          <w:szCs w:val="24"/>
        </w:rPr>
        <w:t xml:space="preserve">A nem rendszeres kifizetések, változó bér jelentés, szabadságok, táppénzes állomány lejelentése a KIRA programon keresztül történik. </w:t>
      </w:r>
    </w:p>
    <w:p>
      <w:pPr>
        <w:pStyle w:val="Normal"/>
        <w:jc w:val="both"/>
        <w:rPr/>
      </w:pPr>
      <w:r>
        <w:rPr>
          <w:szCs w:val="24"/>
        </w:rPr>
        <w:t>A NAV felé teljesítendő bevallások elkészítése is a pénzügyi csoport feladata. 2015. júliusától az Önkormányzat havi áfa bevallásra kötelezett, az intézmények éves áfa bevallók.</w:t>
      </w:r>
    </w:p>
    <w:p>
      <w:pPr>
        <w:pStyle w:val="Normal"/>
        <w:jc w:val="both"/>
        <w:rPr/>
      </w:pPr>
      <w:r>
        <w:rPr>
          <w:szCs w:val="24"/>
        </w:rPr>
        <w:t xml:space="preserve">Az üzemanyag felhasználás elszámolása az önkormányzati géppark esetében a hivatal feladata. Az elszámolás minden hónapban a Gépjármű üzemeltetési szabályzat szerint történik. </w:t>
      </w:r>
    </w:p>
    <w:p>
      <w:pPr>
        <w:pStyle w:val="Normal"/>
        <w:jc w:val="both"/>
        <w:rPr/>
      </w:pPr>
      <w:r>
        <w:rPr>
          <w:szCs w:val="24"/>
        </w:rPr>
        <w:t>Statisztikai kimutatásokat a KSH felé szintén elektronikus úton történik.  Az önkormányzat tulajdonában lévő ingatlanokról forgalomképes, korlátozottan forgalomképes, forgalomképtelen</w:t>
      </w:r>
      <w:bookmarkStart w:id="3" w:name="_GoBack4"/>
      <w:bookmarkEnd w:id="3"/>
      <w:r>
        <w:rPr>
          <w:szCs w:val="24"/>
        </w:rPr>
        <w:t xml:space="preserve"> bontásban nyilvántartást kell vezetni, melyre a hivatal vagyonkataszteri programja szolgál.</w:t>
      </w:r>
    </w:p>
    <w:p>
      <w:pPr>
        <w:pStyle w:val="Normal"/>
        <w:jc w:val="both"/>
        <w:rPr/>
      </w:pPr>
      <w:r>
        <w:rPr>
          <w:szCs w:val="24"/>
        </w:rPr>
        <w:t>A nagy értékű tárgyi eszközök (járművek, épületek, föld, gépek berendezések) értékét, értékcsökkenését a KATI programban fogjuk nyilvántartani. Ezen adatok migrálása még folyamatban van.</w:t>
      </w:r>
    </w:p>
    <w:p>
      <w:pPr>
        <w:pStyle w:val="Normal"/>
        <w:jc w:val="both"/>
        <w:rPr/>
      </w:pPr>
      <w:r>
        <w:rPr>
          <w:szCs w:val="24"/>
        </w:rPr>
        <w:t>2016. július 7-én megszűnt a Vízi Közmű Társulat. Ezzel, hogy átkerült az önkormányzathoz megnövekedett a pénzügy feladata. A nyilvántartó program, amivel a Vízi Közmű Társulat vezette az analitikát az Önkormányzat a Kimo-Soft Kft.-vel kötött szerződés alapján tovább használhatja. Ez nagyban megsegíti a munkát, mivel nem kell újból felvezetni a nyilvántartásban szereplő személyeket. Amennyiben csekkre van szüksége az ügyfélnek ezzel a programmal azt is ki tudjuk állítani. Megkezdődtek az állami támogatások visszafizetése utalással, valamint pénztári kifizetéssel. A hátralékosok felszólítása is megtörtént. Igen gyenge a fizetési hajlandóság.</w:t>
      </w:r>
    </w:p>
    <w:p>
      <w:pPr>
        <w:pStyle w:val="Normal"/>
        <w:jc w:val="both"/>
        <w:rPr>
          <w:szCs w:val="24"/>
        </w:rPr>
      </w:pPr>
      <w:r>
        <w:rPr>
          <w:szCs w:val="24"/>
        </w:rPr>
      </w:r>
    </w:p>
    <w:p>
      <w:pPr>
        <w:pStyle w:val="Normal"/>
        <w:jc w:val="both"/>
        <w:rPr>
          <w:rFonts w:eastAsia="Calibri"/>
          <w:szCs w:val="24"/>
        </w:rPr>
      </w:pPr>
      <w:r>
        <w:rPr>
          <w:rFonts w:eastAsia="Calibri"/>
          <w:szCs w:val="24"/>
        </w:rPr>
      </w:r>
    </w:p>
    <w:p>
      <w:pPr>
        <w:pStyle w:val="Normal"/>
        <w:jc w:val="both"/>
        <w:rPr>
          <w:rFonts w:eastAsia="Calibri"/>
          <w:b/>
          <w:b/>
          <w:szCs w:val="24"/>
        </w:rPr>
      </w:pPr>
      <w:r>
        <w:rPr>
          <w:rFonts w:eastAsia="Calibri"/>
          <w:b/>
          <w:szCs w:val="24"/>
        </w:rPr>
        <w:t>Méhészek kiértesítése:</w:t>
      </w:r>
    </w:p>
    <w:p>
      <w:pPr>
        <w:pStyle w:val="Normal"/>
        <w:jc w:val="both"/>
        <w:rPr>
          <w:rFonts w:eastAsia="Calibri"/>
          <w:b/>
          <w:b/>
          <w:szCs w:val="24"/>
        </w:rPr>
      </w:pPr>
      <w:r>
        <w:rPr>
          <w:rFonts w:eastAsia="Calibri"/>
          <w:b/>
          <w:szCs w:val="24"/>
        </w:rPr>
      </w:r>
    </w:p>
    <w:p>
      <w:pPr>
        <w:pStyle w:val="Normal"/>
        <w:spacing w:before="0" w:after="0"/>
        <w:contextualSpacing/>
        <w:jc w:val="both"/>
        <w:rPr>
          <w:rFonts w:eastAsia="Times New Roman"/>
          <w:szCs w:val="24"/>
          <w:lang w:eastAsia="hu-HU"/>
        </w:rPr>
      </w:pPr>
      <w:r>
        <w:rPr>
          <w:rFonts w:eastAsia="Times New Roman"/>
          <w:szCs w:val="24"/>
          <w:lang w:eastAsia="hu-HU"/>
        </w:rPr>
        <w:t>Méhészek bejelentése 12 db volt 2017. január 01.-e óta.</w:t>
      </w:r>
    </w:p>
    <w:p>
      <w:pPr>
        <w:pStyle w:val="Normal"/>
        <w:spacing w:before="0" w:after="0"/>
        <w:contextualSpacing/>
        <w:jc w:val="both"/>
        <w:rPr>
          <w:rFonts w:eastAsia="Times New Roman"/>
          <w:szCs w:val="24"/>
          <w:lang w:eastAsia="hu-HU"/>
        </w:rPr>
      </w:pPr>
      <w:r>
        <w:rPr>
          <w:rFonts w:eastAsia="Times New Roman"/>
          <w:szCs w:val="24"/>
          <w:lang w:eastAsia="hu-HU"/>
        </w:rPr>
        <w:t>Méhészek kiértesítése szúnyoggyérítés miatt 3 alkalommal volt.</w:t>
      </w:r>
    </w:p>
    <w:p>
      <w:pPr>
        <w:pStyle w:val="Normal"/>
        <w:spacing w:before="0" w:after="0"/>
        <w:ind w:left="420" w:hanging="360"/>
        <w:contextualSpacing/>
        <w:jc w:val="both"/>
        <w:rPr>
          <w:rFonts w:eastAsia="Times New Roman"/>
          <w:szCs w:val="24"/>
          <w:lang w:eastAsia="hu-HU"/>
        </w:rPr>
      </w:pPr>
      <w:r>
        <w:rPr>
          <w:rFonts w:eastAsia="Times New Roman"/>
          <w:szCs w:val="24"/>
          <w:lang w:eastAsia="hu-HU"/>
        </w:rPr>
      </w:r>
    </w:p>
    <w:p>
      <w:pPr>
        <w:pStyle w:val="Normal"/>
        <w:spacing w:before="0" w:after="0"/>
        <w:ind w:left="420" w:hanging="360"/>
        <w:contextualSpacing/>
        <w:jc w:val="both"/>
        <w:rPr>
          <w:rFonts w:eastAsia="Times New Roman"/>
          <w:szCs w:val="24"/>
          <w:lang w:eastAsia="hu-HU"/>
        </w:rPr>
      </w:pPr>
      <w:r>
        <w:rPr>
          <w:rFonts w:eastAsia="Times New Roman"/>
          <w:szCs w:val="24"/>
          <w:lang w:eastAsia="hu-HU"/>
        </w:rPr>
      </w:r>
    </w:p>
    <w:p>
      <w:pPr>
        <w:pStyle w:val="Normal"/>
        <w:spacing w:before="0" w:after="0"/>
        <w:contextualSpacing/>
        <w:jc w:val="both"/>
        <w:rPr>
          <w:rFonts w:eastAsia="Times New Roman"/>
          <w:b/>
          <w:b/>
          <w:szCs w:val="24"/>
          <w:lang w:eastAsia="hu-HU"/>
        </w:rPr>
      </w:pPr>
      <w:r>
        <w:rPr>
          <w:rFonts w:eastAsia="Times New Roman"/>
          <w:b/>
          <w:szCs w:val="24"/>
          <w:lang w:eastAsia="hu-HU"/>
        </w:rPr>
        <w:t>Romos ingatlanok:</w:t>
      </w:r>
    </w:p>
    <w:p>
      <w:pPr>
        <w:pStyle w:val="Normal"/>
        <w:spacing w:before="0" w:after="0"/>
        <w:contextualSpacing/>
        <w:jc w:val="both"/>
        <w:rPr>
          <w:rFonts w:eastAsia="Times New Roman"/>
          <w:b/>
          <w:b/>
          <w:szCs w:val="24"/>
          <w:lang w:eastAsia="hu-HU"/>
        </w:rPr>
      </w:pPr>
      <w:r>
        <w:rPr>
          <w:rFonts w:eastAsia="Times New Roman"/>
          <w:b/>
          <w:szCs w:val="24"/>
          <w:lang w:eastAsia="hu-HU"/>
        </w:rPr>
      </w:r>
    </w:p>
    <w:p>
      <w:pPr>
        <w:pStyle w:val="Normal"/>
        <w:spacing w:before="0" w:after="0"/>
        <w:contextualSpacing/>
        <w:jc w:val="both"/>
        <w:rPr>
          <w:rFonts w:eastAsia="Times New Roman"/>
          <w:szCs w:val="24"/>
          <w:lang w:eastAsia="hu-HU"/>
        </w:rPr>
      </w:pPr>
      <w:r>
        <w:rPr>
          <w:rFonts w:eastAsia="Times New Roman"/>
          <w:szCs w:val="24"/>
          <w:lang w:eastAsia="hu-HU"/>
        </w:rPr>
        <w:t>Romos ingatlanokkal kapcsolatban intézkedésre 1 esetben került sor. Minden esetben a Hivatal továbbítja az iratanyagot az illetékes hatóság (jelen esetben a Szarvasi Járási Hivatal Építéshatósági Osztálya) számára.</w:t>
      </w:r>
    </w:p>
    <w:p>
      <w:pPr>
        <w:pStyle w:val="Normal"/>
        <w:spacing w:before="0" w:after="0"/>
        <w:contextualSpacing/>
        <w:jc w:val="both"/>
        <w:rPr>
          <w:rFonts w:eastAsia="Times New Roman"/>
          <w:szCs w:val="24"/>
          <w:lang w:eastAsia="hu-HU"/>
        </w:rPr>
      </w:pPr>
      <w:r>
        <w:rPr>
          <w:rFonts w:eastAsia="Times New Roman"/>
          <w:szCs w:val="24"/>
          <w:lang w:eastAsia="hu-HU"/>
        </w:rPr>
      </w:r>
    </w:p>
    <w:p>
      <w:pPr>
        <w:pStyle w:val="Normal"/>
        <w:spacing w:before="0" w:after="0"/>
        <w:contextualSpacing/>
        <w:jc w:val="both"/>
        <w:rPr>
          <w:rFonts w:eastAsia="Times New Roman"/>
          <w:szCs w:val="24"/>
          <w:lang w:eastAsia="hu-HU"/>
        </w:rPr>
      </w:pPr>
      <w:r>
        <w:rPr>
          <w:rFonts w:eastAsia="Times New Roman"/>
          <w:szCs w:val="24"/>
          <w:lang w:eastAsia="hu-HU"/>
        </w:rPr>
      </w:r>
    </w:p>
    <w:p>
      <w:pPr>
        <w:pStyle w:val="Normal"/>
        <w:spacing w:before="0" w:after="0"/>
        <w:contextualSpacing/>
        <w:jc w:val="both"/>
        <w:rPr>
          <w:rFonts w:eastAsia="Times New Roman"/>
          <w:b/>
          <w:b/>
          <w:szCs w:val="24"/>
          <w:lang w:eastAsia="hu-HU"/>
        </w:rPr>
      </w:pPr>
      <w:r>
        <w:rPr>
          <w:rFonts w:eastAsia="Times New Roman"/>
          <w:b/>
          <w:szCs w:val="24"/>
          <w:lang w:eastAsia="hu-HU"/>
        </w:rPr>
        <w:t>Kereskedelem:</w:t>
      </w:r>
    </w:p>
    <w:p>
      <w:pPr>
        <w:pStyle w:val="Normal"/>
        <w:spacing w:before="0" w:after="0"/>
        <w:contextualSpacing/>
        <w:jc w:val="both"/>
        <w:rPr>
          <w:rFonts w:eastAsia="Times New Roman"/>
          <w:b/>
          <w:b/>
          <w:szCs w:val="24"/>
          <w:lang w:eastAsia="hu-HU"/>
        </w:rPr>
      </w:pPr>
      <w:r>
        <w:rPr>
          <w:rFonts w:eastAsia="Times New Roman"/>
          <w:b/>
          <w:szCs w:val="24"/>
          <w:lang w:eastAsia="hu-HU"/>
        </w:rPr>
      </w:r>
    </w:p>
    <w:p>
      <w:pPr>
        <w:pStyle w:val="Normal"/>
        <w:spacing w:before="0" w:after="0"/>
        <w:contextualSpacing/>
        <w:jc w:val="both"/>
        <w:rPr>
          <w:rFonts w:eastAsia="Times New Roman"/>
          <w:szCs w:val="24"/>
          <w:lang w:eastAsia="hu-HU"/>
        </w:rPr>
      </w:pPr>
      <w:r>
        <w:rPr>
          <w:rFonts w:eastAsia="Times New Roman"/>
          <w:szCs w:val="24"/>
          <w:lang w:eastAsia="hu-HU"/>
        </w:rPr>
        <w:t>A kereskedelmi ügyek száma 8 db volt. Ebből 6 db új kereskedelmi egység nyitás, 3 db adatváltozás, 2 db működési engedély leadás, és 1 db bejelentés köteles tevékenység törlés volt.</w:t>
      </w:r>
    </w:p>
    <w:p>
      <w:pPr>
        <w:pStyle w:val="Normal"/>
        <w:spacing w:before="0" w:after="0"/>
        <w:contextualSpacing/>
        <w:jc w:val="both"/>
        <w:rPr>
          <w:rFonts w:eastAsia="Times New Roman"/>
          <w:szCs w:val="24"/>
          <w:lang w:eastAsia="hu-HU"/>
        </w:rPr>
      </w:pPr>
      <w:r>
        <w:rPr>
          <w:rFonts w:eastAsia="Times New Roman"/>
          <w:szCs w:val="24"/>
          <w:lang w:eastAsia="hu-HU"/>
        </w:rPr>
      </w:r>
    </w:p>
    <w:p>
      <w:pPr>
        <w:pStyle w:val="Normal"/>
        <w:spacing w:before="0" w:after="0"/>
        <w:contextualSpacing/>
        <w:jc w:val="both"/>
        <w:rPr>
          <w:rFonts w:eastAsia="Times New Roman"/>
          <w:szCs w:val="24"/>
          <w:lang w:eastAsia="hu-HU"/>
        </w:rPr>
      </w:pPr>
      <w:r>
        <w:rPr>
          <w:rFonts w:eastAsia="Times New Roman"/>
          <w:szCs w:val="24"/>
          <w:lang w:eastAsia="hu-HU"/>
        </w:rPr>
      </w:r>
    </w:p>
    <w:p>
      <w:pPr>
        <w:pStyle w:val="Normal"/>
        <w:spacing w:before="0" w:after="0"/>
        <w:contextualSpacing/>
        <w:jc w:val="both"/>
        <w:rPr/>
      </w:pPr>
      <w:r>
        <w:rPr>
          <w:rFonts w:eastAsia="Times New Roman"/>
          <w:b/>
          <w:szCs w:val="24"/>
          <w:lang w:eastAsia="hu-HU"/>
        </w:rPr>
        <w:t>Földkifüggesztés:</w:t>
      </w:r>
    </w:p>
    <w:p>
      <w:pPr>
        <w:pStyle w:val="Normal"/>
        <w:spacing w:before="0" w:after="0"/>
        <w:contextualSpacing/>
        <w:jc w:val="both"/>
        <w:rPr>
          <w:rFonts w:eastAsia="Times New Roman"/>
          <w:b/>
          <w:b/>
          <w:szCs w:val="24"/>
          <w:lang w:eastAsia="hu-HU"/>
        </w:rPr>
      </w:pPr>
      <w:r>
        <w:rPr>
          <w:rFonts w:eastAsia="Times New Roman"/>
          <w:b/>
          <w:szCs w:val="24"/>
          <w:lang w:eastAsia="hu-HU"/>
        </w:rPr>
      </w:r>
    </w:p>
    <w:p>
      <w:pPr>
        <w:pStyle w:val="Normal"/>
        <w:spacing w:before="0" w:after="0"/>
        <w:contextualSpacing/>
        <w:jc w:val="both"/>
        <w:rPr/>
      </w:pPr>
      <w:r>
        <w:rPr>
          <w:rFonts w:eastAsia="Times New Roman"/>
          <w:szCs w:val="24"/>
          <w:lang w:eastAsia="hu-HU"/>
        </w:rPr>
        <w:t>A földkifüggesztés, illetve hirdetmények kifüggesztése ügykörben összesen 13 db földkifüggesztés és 21 db hirdetmény volt 2017-ben.</w:t>
      </w:r>
    </w:p>
    <w:p>
      <w:pPr>
        <w:pStyle w:val="Normal"/>
        <w:spacing w:before="0" w:after="0"/>
        <w:contextualSpacing/>
        <w:jc w:val="both"/>
        <w:rPr>
          <w:rFonts w:eastAsia="Times New Roman"/>
          <w:szCs w:val="24"/>
          <w:lang w:eastAsia="hu-HU"/>
        </w:rPr>
      </w:pPr>
      <w:r>
        <w:rPr>
          <w:rFonts w:eastAsia="Times New Roman"/>
          <w:szCs w:val="24"/>
          <w:lang w:eastAsia="hu-HU"/>
        </w:rPr>
      </w:r>
    </w:p>
    <w:p>
      <w:pPr>
        <w:pStyle w:val="Normal"/>
        <w:spacing w:before="0" w:after="0"/>
        <w:contextualSpacing/>
        <w:jc w:val="both"/>
        <w:rPr>
          <w:rFonts w:eastAsia="Times New Roman"/>
          <w:b/>
          <w:b/>
          <w:szCs w:val="24"/>
          <w:lang w:eastAsia="hu-HU"/>
        </w:rPr>
      </w:pPr>
      <w:r>
        <w:rPr>
          <w:rFonts w:eastAsia="Times New Roman"/>
          <w:b/>
          <w:szCs w:val="24"/>
          <w:lang w:eastAsia="hu-HU"/>
        </w:rPr>
      </w:r>
    </w:p>
    <w:p>
      <w:pPr>
        <w:pStyle w:val="Normal"/>
        <w:spacing w:before="0" w:after="0"/>
        <w:contextualSpacing/>
        <w:jc w:val="both"/>
        <w:rPr/>
      </w:pPr>
      <w:r>
        <w:rPr>
          <w:rFonts w:eastAsia="Times New Roman"/>
          <w:b/>
          <w:szCs w:val="24"/>
          <w:lang w:eastAsia="hu-HU"/>
        </w:rPr>
        <w:t>Kóbor kutyák ügyei:</w:t>
      </w:r>
    </w:p>
    <w:p>
      <w:pPr>
        <w:pStyle w:val="Normal"/>
        <w:spacing w:before="0" w:after="0"/>
        <w:contextualSpacing/>
        <w:jc w:val="both"/>
        <w:rPr>
          <w:rFonts w:eastAsia="Times New Roman"/>
          <w:b/>
          <w:b/>
          <w:szCs w:val="24"/>
          <w:lang w:eastAsia="hu-HU"/>
        </w:rPr>
      </w:pPr>
      <w:r>
        <w:rPr>
          <w:rFonts w:eastAsia="Times New Roman"/>
          <w:b/>
          <w:szCs w:val="24"/>
          <w:lang w:eastAsia="hu-HU"/>
        </w:rPr>
      </w:r>
    </w:p>
    <w:p>
      <w:pPr>
        <w:pStyle w:val="Normal"/>
        <w:spacing w:before="0" w:after="0"/>
        <w:contextualSpacing/>
        <w:jc w:val="both"/>
        <w:rPr/>
      </w:pPr>
      <w:r>
        <w:rPr>
          <w:rFonts w:eastAsia="Times New Roman"/>
          <w:szCs w:val="24"/>
          <w:lang w:eastAsia="hu-HU"/>
        </w:rPr>
        <w:t>2017. január végétől van érvényes szerződés egy vállalkozóval, aki a településen befogja a kóbor kutyákat, elszállítja és a jogszabályoknak megfelelően eljár.</w:t>
      </w:r>
    </w:p>
    <w:p>
      <w:pPr>
        <w:pStyle w:val="Normal"/>
        <w:spacing w:before="0" w:after="0"/>
        <w:contextualSpacing/>
        <w:jc w:val="both"/>
        <w:rPr>
          <w:rFonts w:eastAsia="Times New Roman"/>
          <w:szCs w:val="24"/>
          <w:lang w:eastAsia="hu-HU"/>
        </w:rPr>
      </w:pPr>
      <w:r>
        <w:rPr>
          <w:rFonts w:eastAsia="Times New Roman"/>
          <w:szCs w:val="24"/>
          <w:lang w:eastAsia="hu-HU"/>
        </w:rPr>
      </w:r>
    </w:p>
    <w:p>
      <w:pPr>
        <w:pStyle w:val="Normal"/>
        <w:spacing w:before="0" w:after="0"/>
        <w:contextualSpacing/>
        <w:jc w:val="both"/>
        <w:rPr>
          <w:rFonts w:eastAsia="Times New Roman"/>
          <w:szCs w:val="24"/>
          <w:lang w:eastAsia="hu-HU"/>
        </w:rPr>
      </w:pPr>
      <w:r>
        <w:rPr>
          <w:rFonts w:eastAsia="Times New Roman"/>
          <w:szCs w:val="24"/>
          <w:lang w:eastAsia="hu-HU"/>
        </w:rPr>
      </w:r>
    </w:p>
    <w:p>
      <w:pPr>
        <w:pStyle w:val="Normal"/>
        <w:spacing w:before="0" w:after="0"/>
        <w:contextualSpacing/>
        <w:jc w:val="both"/>
        <w:rPr/>
      </w:pPr>
      <w:r>
        <w:rPr>
          <w:rFonts w:eastAsia="Times New Roman"/>
          <w:b/>
          <w:szCs w:val="24"/>
          <w:lang w:eastAsia="hu-HU"/>
        </w:rPr>
        <w:t>Közterület foglalás:</w:t>
      </w:r>
    </w:p>
    <w:p>
      <w:pPr>
        <w:pStyle w:val="Normal"/>
        <w:spacing w:before="0" w:after="0"/>
        <w:contextualSpacing/>
        <w:jc w:val="both"/>
        <w:rPr>
          <w:rFonts w:eastAsia="Times New Roman"/>
          <w:b/>
          <w:b/>
          <w:szCs w:val="24"/>
          <w:lang w:eastAsia="hu-HU"/>
        </w:rPr>
      </w:pPr>
      <w:r>
        <w:rPr>
          <w:rFonts w:eastAsia="Times New Roman"/>
          <w:b/>
          <w:szCs w:val="24"/>
          <w:lang w:eastAsia="hu-HU"/>
        </w:rPr>
      </w:r>
    </w:p>
    <w:p>
      <w:pPr>
        <w:pStyle w:val="Normal"/>
        <w:spacing w:before="0" w:after="0"/>
        <w:contextualSpacing/>
        <w:jc w:val="both"/>
        <w:rPr/>
      </w:pPr>
      <w:r>
        <w:rPr>
          <w:rFonts w:eastAsia="Times New Roman"/>
          <w:szCs w:val="24"/>
          <w:lang w:eastAsia="hu-HU"/>
        </w:rPr>
        <w:t>Közterület foglalás ügykörben 7 db eljárás volt.</w:t>
      </w:r>
    </w:p>
    <w:p>
      <w:pPr>
        <w:pStyle w:val="Normal"/>
        <w:spacing w:before="0" w:after="0"/>
        <w:contextualSpacing/>
        <w:jc w:val="both"/>
        <w:rPr>
          <w:rFonts w:eastAsia="Times New Roman"/>
          <w:szCs w:val="24"/>
          <w:lang w:eastAsia="hu-HU"/>
        </w:rPr>
      </w:pPr>
      <w:r>
        <w:rPr>
          <w:rFonts w:eastAsia="Times New Roman"/>
          <w:szCs w:val="24"/>
          <w:lang w:eastAsia="hu-HU"/>
        </w:rPr>
      </w:r>
    </w:p>
    <w:p>
      <w:pPr>
        <w:pStyle w:val="Normal"/>
        <w:spacing w:before="0" w:after="0"/>
        <w:contextualSpacing/>
        <w:jc w:val="both"/>
        <w:rPr>
          <w:rFonts w:eastAsia="Times New Roman"/>
          <w:szCs w:val="24"/>
          <w:lang w:eastAsia="hu-HU"/>
        </w:rPr>
      </w:pPr>
      <w:r>
        <w:rPr>
          <w:rFonts w:eastAsia="Times New Roman"/>
          <w:szCs w:val="24"/>
          <w:lang w:eastAsia="hu-HU"/>
        </w:rPr>
      </w:r>
    </w:p>
    <w:p>
      <w:pPr>
        <w:pStyle w:val="Normal"/>
        <w:jc w:val="both"/>
        <w:rPr/>
      </w:pPr>
      <w:r>
        <w:rPr>
          <w:b/>
        </w:rPr>
        <w:t>Birtokvédelem:</w:t>
      </w:r>
    </w:p>
    <w:p>
      <w:pPr>
        <w:pStyle w:val="Normal"/>
        <w:jc w:val="both"/>
        <w:rPr>
          <w:b/>
          <w:b/>
        </w:rPr>
      </w:pPr>
      <w:r>
        <w:rPr>
          <w:b/>
        </w:rPr>
      </w:r>
    </w:p>
    <w:p>
      <w:pPr>
        <w:pStyle w:val="Normal"/>
        <w:jc w:val="both"/>
        <w:rPr/>
      </w:pPr>
      <w:r>
        <w:rPr/>
        <w:t>Birtokvédelem ügyben összesen 2 db esetben kellett intézkedni.</w:t>
      </w:r>
    </w:p>
    <w:p>
      <w:pPr>
        <w:pStyle w:val="Normal"/>
        <w:jc w:val="both"/>
        <w:rPr/>
      </w:pPr>
      <w:r>
        <w:rPr/>
      </w:r>
    </w:p>
    <w:p>
      <w:pPr>
        <w:pStyle w:val="Normal"/>
        <w:jc w:val="both"/>
        <w:rPr>
          <w:b/>
          <w:b/>
        </w:rPr>
      </w:pPr>
      <w:r>
        <w:rPr>
          <w:b/>
        </w:rPr>
      </w:r>
    </w:p>
    <w:p>
      <w:pPr>
        <w:pStyle w:val="Normal"/>
        <w:jc w:val="both"/>
        <w:rPr/>
      </w:pPr>
      <w:r>
        <w:rPr>
          <w:b/>
        </w:rPr>
        <w:t>Gazos porta</w:t>
      </w:r>
      <w:r>
        <w:rPr/>
        <w:t xml:space="preserve"> ügykörben 1db eljárás volt.</w:t>
      </w:r>
    </w:p>
    <w:p>
      <w:pPr>
        <w:pStyle w:val="Normal"/>
        <w:jc w:val="both"/>
        <w:rPr/>
      </w:pPr>
      <w:r>
        <w:rPr/>
      </w:r>
    </w:p>
    <w:p>
      <w:pPr>
        <w:pStyle w:val="Normal"/>
        <w:jc w:val="both"/>
        <w:rPr/>
      </w:pPr>
      <w:r>
        <w:rPr/>
      </w:r>
    </w:p>
    <w:p>
      <w:pPr>
        <w:pStyle w:val="Normal"/>
        <w:jc w:val="both"/>
        <w:rPr/>
      </w:pPr>
      <w:r>
        <w:rPr>
          <w:b/>
        </w:rPr>
        <w:t>Lakáscélú kölcsön ügykörben</w:t>
      </w:r>
      <w:r>
        <w:rPr/>
        <w:t xml:space="preserve"> 4 db jelzálogtörlés volt.</w:t>
      </w:r>
    </w:p>
    <w:p>
      <w:pPr>
        <w:pStyle w:val="Normal"/>
        <w:jc w:val="both"/>
        <w:rPr/>
      </w:pPr>
      <w:r>
        <w:rPr/>
      </w:r>
    </w:p>
    <w:p>
      <w:pPr>
        <w:pStyle w:val="Normal"/>
        <w:jc w:val="both"/>
        <w:rPr/>
      </w:pPr>
      <w:r>
        <w:rPr/>
      </w:r>
    </w:p>
    <w:p>
      <w:pPr>
        <w:pStyle w:val="Normal"/>
        <w:jc w:val="both"/>
        <w:rPr>
          <w:b/>
          <w:b/>
        </w:rPr>
      </w:pPr>
      <w:r>
        <w:rPr>
          <w:b/>
        </w:rPr>
        <w:t>Informatika:</w:t>
      </w:r>
    </w:p>
    <w:p>
      <w:pPr>
        <w:pStyle w:val="Normal"/>
        <w:jc w:val="both"/>
        <w:rPr>
          <w:b/>
          <w:b/>
        </w:rPr>
      </w:pPr>
      <w:r>
        <w:rPr>
          <w:b/>
        </w:rPr>
      </w:r>
    </w:p>
    <w:p>
      <w:pPr>
        <w:pStyle w:val="Normal"/>
        <w:ind w:left="426" w:hanging="0"/>
        <w:jc w:val="both"/>
        <w:rPr>
          <w:u w:val="single"/>
        </w:rPr>
      </w:pPr>
      <w:r>
        <w:rPr>
          <w:u w:val="single"/>
        </w:rPr>
        <w:t>ASP rendszer bevezetése :</w:t>
      </w:r>
    </w:p>
    <w:p>
      <w:pPr>
        <w:pStyle w:val="Normal"/>
        <w:ind w:left="426" w:hanging="0"/>
        <w:jc w:val="both"/>
        <w:rPr>
          <w:lang w:eastAsia="ar-SA"/>
        </w:rPr>
      </w:pPr>
      <w:r>
        <w:rPr/>
        <w:t xml:space="preserve">A 2017. január elején az önkormányzati adó és pénzügy területén bevezetésre került az ASP rendszer és a </w:t>
      </w:r>
      <w:r>
        <w:rPr>
          <w:lang w:eastAsia="ar-SA"/>
        </w:rPr>
        <w:t>KÖFOP – 1.2.1.-VEKOP-16 azonosító számú „Csatlakoztatási konstrukció az önkormányzati ASP rendszer országos kiterjesztése” című projekt keretében beszerzésre került 7 db számítógép, 8 db monitor, 12 db e-személyi igazolvány olvasására képes kárt</w:t>
      </w:r>
      <w:bookmarkStart w:id="4" w:name="_GoBack"/>
      <w:bookmarkEnd w:id="4"/>
      <w:r>
        <w:rPr>
          <w:lang w:eastAsia="ar-SA"/>
        </w:rPr>
        <w:t>yaolvasó, 1 db fali rack szekrény és 1 db hálózati eszköz.</w:t>
      </w:r>
    </w:p>
    <w:p>
      <w:pPr>
        <w:pStyle w:val="Normal"/>
        <w:ind w:left="426" w:hanging="0"/>
        <w:jc w:val="both"/>
        <w:rPr/>
      </w:pPr>
      <w:r>
        <w:rPr/>
      </w:r>
    </w:p>
    <w:p>
      <w:pPr>
        <w:pStyle w:val="Normal"/>
        <w:ind w:left="426" w:hanging="0"/>
        <w:jc w:val="both"/>
        <w:rPr>
          <w:u w:val="single"/>
        </w:rPr>
      </w:pPr>
      <w:r>
        <w:rPr>
          <w:u w:val="single"/>
        </w:rPr>
        <w:t xml:space="preserve">Térfigyelő rendszer: </w:t>
      </w:r>
    </w:p>
    <w:p>
      <w:pPr>
        <w:pStyle w:val="Normal"/>
        <w:ind w:left="426" w:hanging="0"/>
        <w:jc w:val="both"/>
        <w:rPr/>
      </w:pPr>
      <w:r>
        <w:rPr/>
        <w:t>A településen 19 térfigyelő kamera működik, melyből jelenleg 1 db hibásodott meg és cserére vár, valamint további 4 kamera öregedett el, melynek cseréje indokolt lenne. A kamera hálózatot összekötő hálózati eszköz augusztus elején tönkrement, ezt cserélni kellett.</w:t>
      </w:r>
    </w:p>
    <w:p>
      <w:pPr>
        <w:pStyle w:val="Normal"/>
        <w:ind w:left="426" w:hanging="0"/>
        <w:jc w:val="both"/>
        <w:rPr/>
      </w:pPr>
      <w:r>
        <w:rPr/>
        <w:t>Az orosházi nyomozók, illetve a gádoroson szolgáló rendőrök számos esetben nézték vissza a térfigyelő rendszer felvételeit. 8 esetben kérték a felvételek kimentését, melyek összesen több mint 150 GB adatot jelentettek.</w:t>
      </w:r>
    </w:p>
    <w:p>
      <w:pPr>
        <w:pStyle w:val="Normal"/>
        <w:ind w:left="426" w:hanging="0"/>
        <w:jc w:val="both"/>
        <w:rPr/>
      </w:pPr>
      <w:r>
        <w:rPr/>
      </w:r>
    </w:p>
    <w:p>
      <w:pPr>
        <w:pStyle w:val="Normal"/>
        <w:ind w:left="426" w:hanging="0"/>
        <w:jc w:val="both"/>
        <w:rPr>
          <w:u w:val="single"/>
        </w:rPr>
      </w:pPr>
      <w:r>
        <w:rPr>
          <w:u w:val="single"/>
        </w:rPr>
        <w:t>Kormányzati gerincvonal:</w:t>
      </w:r>
    </w:p>
    <w:p>
      <w:pPr>
        <w:pStyle w:val="Normal"/>
        <w:ind w:left="426" w:hanging="0"/>
        <w:jc w:val="both"/>
        <w:rPr/>
      </w:pPr>
      <w:r>
        <w:rPr/>
        <w:t>Új, teljesen elkülönített kormányzati gerincvonal kiépítése történt az anyakönyvi rendszer számára, melynek üzembe helyezése a közeljövőben várható.</w:t>
      </w:r>
    </w:p>
    <w:p>
      <w:pPr>
        <w:pStyle w:val="Normal"/>
        <w:ind w:left="426" w:hanging="0"/>
        <w:jc w:val="both"/>
        <w:rPr>
          <w:u w:val="single"/>
        </w:rPr>
      </w:pPr>
      <w:r>
        <w:rPr>
          <w:u w:val="single"/>
        </w:rPr>
      </w:r>
    </w:p>
    <w:p>
      <w:pPr>
        <w:pStyle w:val="Normal"/>
        <w:ind w:left="426" w:hanging="0"/>
        <w:jc w:val="both"/>
        <w:rPr>
          <w:u w:val="single"/>
        </w:rPr>
      </w:pPr>
      <w:r>
        <w:rPr>
          <w:u w:val="single"/>
        </w:rPr>
        <w:t>Egyéb informatika:</w:t>
      </w:r>
    </w:p>
    <w:p>
      <w:pPr>
        <w:pStyle w:val="Normal"/>
        <w:ind w:left="426" w:hanging="0"/>
        <w:jc w:val="both"/>
        <w:rPr/>
      </w:pPr>
      <w:r>
        <w:rPr/>
        <w:t>Az év elején beszerzésre került egy új, nagy teljesítményű szerver, ami a régi 2011 óta folyamatosan működő szervert váltja ki. A régi szerver tehermentesítése és üzemből való kivonása, valamint a lassabb gépek üzemből való kivonása folyamatban van.</w:t>
      </w:r>
    </w:p>
    <w:p>
      <w:pPr>
        <w:pStyle w:val="Normal"/>
        <w:jc w:val="both"/>
        <w:rPr>
          <w:rFonts w:eastAsia="Calibri"/>
          <w:szCs w:val="24"/>
        </w:rPr>
      </w:pPr>
      <w:r>
        <w:rPr>
          <w:rFonts w:eastAsia="Calibri"/>
          <w:szCs w:val="24"/>
        </w:rPr>
      </w:r>
    </w:p>
    <w:p>
      <w:pPr>
        <w:pStyle w:val="Normal"/>
        <w:spacing w:before="0" w:after="0"/>
        <w:contextualSpacing/>
        <w:jc w:val="both"/>
        <w:rPr>
          <w:rFonts w:eastAsia="Calibri"/>
          <w:szCs w:val="24"/>
        </w:rPr>
      </w:pPr>
      <w:r>
        <w:rPr>
          <w:rFonts w:eastAsia="Calibri"/>
          <w:szCs w:val="24"/>
        </w:rPr>
      </w:r>
    </w:p>
    <w:p>
      <w:pPr>
        <w:pStyle w:val="Normal"/>
        <w:spacing w:lineRule="auto" w:line="259"/>
        <w:jc w:val="both"/>
        <w:rPr/>
      </w:pPr>
      <w:r>
        <w:rPr>
          <w:rFonts w:eastAsia="Times New Roman"/>
          <w:szCs w:val="24"/>
          <w:lang w:eastAsia="hu-HU"/>
        </w:rPr>
        <w:t>Közérdekű adatigényléssel</w:t>
      </w:r>
      <w:r>
        <w:rPr>
          <w:rFonts w:eastAsia="Times New Roman"/>
          <w:szCs w:val="24"/>
          <w:lang w:eastAsia="hu-HU"/>
        </w:rPr>
        <w:t xml:space="preserve"> kapcsolatban </w:t>
      </w:r>
      <w:r>
        <w:rPr>
          <w:rFonts w:eastAsia="Times New Roman"/>
          <w:szCs w:val="24"/>
          <w:lang w:eastAsia="hu-HU"/>
        </w:rPr>
        <w:t>2</w:t>
      </w:r>
      <w:r>
        <w:rPr>
          <w:rFonts w:eastAsia="Times New Roman"/>
          <w:szCs w:val="24"/>
          <w:lang w:eastAsia="hu-HU"/>
        </w:rPr>
        <w:t>1</w:t>
      </w:r>
      <w:r>
        <w:rPr>
          <w:rFonts w:eastAsia="Times New Roman"/>
          <w:szCs w:val="24"/>
          <w:lang w:eastAsia="hu-HU"/>
        </w:rPr>
        <w:t xml:space="preserve"> esetben került sor intézkedésre. </w:t>
      </w:r>
      <w:r>
        <w:rPr>
          <w:rFonts w:eastAsia="Calibri"/>
          <w:szCs w:val="24"/>
        </w:rPr>
        <w:t xml:space="preserve">A </w:t>
      </w:r>
      <w:r>
        <w:rPr>
          <w:rFonts w:eastAsia="Calibri"/>
          <w:szCs w:val="24"/>
        </w:rPr>
        <w:t>titkárság</w:t>
      </w:r>
      <w:r>
        <w:rPr>
          <w:rFonts w:eastAsia="Calibri"/>
          <w:szCs w:val="24"/>
        </w:rPr>
        <w:t xml:space="preserve"> részére plusz feladatot jelentett, </w:t>
      </w:r>
      <w:r>
        <w:rPr>
          <w:rFonts w:eastAsia="Calibri"/>
          <w:szCs w:val="24"/>
        </w:rPr>
        <w:t>mivel az adatok összegyűjtése, az adatok rögzítése és a dokumentumok fénymásolása nagy feladatot ró ránk</w:t>
      </w:r>
      <w:r>
        <w:rPr>
          <w:rFonts w:eastAsia="Calibri"/>
          <w:szCs w:val="24"/>
        </w:rPr>
        <w:t xml:space="preserve">. </w:t>
      </w:r>
      <w:r>
        <w:rPr>
          <w:rFonts w:eastAsia="Calibri"/>
          <w:szCs w:val="24"/>
        </w:rPr>
        <w:t xml:space="preserve">Az iratok fénymásolása az Önkormányzatnak nagy anyagi terhet jelent. A fénymásolás </w:t>
      </w:r>
      <w:r>
        <w:rPr>
          <w:rFonts w:eastAsia="Calibri"/>
          <w:szCs w:val="24"/>
        </w:rPr>
        <w:t>jelentős</w:t>
      </w:r>
      <w:r>
        <w:rPr>
          <w:rFonts w:eastAsia="Calibri"/>
          <w:szCs w:val="24"/>
        </w:rPr>
        <w:t xml:space="preserve"> festék és papír felhasználást igényel.</w:t>
      </w:r>
    </w:p>
    <w:p>
      <w:pPr>
        <w:pStyle w:val="Normal"/>
        <w:spacing w:lineRule="auto" w:line="259"/>
        <w:jc w:val="both"/>
        <w:rPr>
          <w:rFonts w:eastAsia="Calibri"/>
          <w:szCs w:val="24"/>
        </w:rPr>
      </w:pPr>
      <w:r>
        <w:rPr/>
      </w:r>
    </w:p>
    <w:p>
      <w:pPr>
        <w:pStyle w:val="Normal"/>
        <w:spacing w:lineRule="auto" w:line="259"/>
        <w:jc w:val="both"/>
        <w:rPr>
          <w:rFonts w:eastAsia="Calibri"/>
          <w:szCs w:val="24"/>
        </w:rPr>
      </w:pPr>
      <w:r>
        <w:rPr>
          <w:rFonts w:eastAsia="Calibri"/>
          <w:szCs w:val="24"/>
        </w:rPr>
        <w:t>Végezetül megemlítem, hogy az idei évben eddig 17 Képviselő-testületi ülés volt. Ebből 1 közmeghallgatás, 6 rendes ülés és 11 rendkívüli ülés. A Képviselő-testület ülésein eddig 121 határozatot hozott, 5 új rendeletet alkotott, és 4 rendeletet módosított.</w:t>
      </w:r>
    </w:p>
    <w:p>
      <w:pPr>
        <w:pStyle w:val="Normal"/>
        <w:spacing w:before="0" w:after="0"/>
        <w:contextualSpacing/>
        <w:jc w:val="both"/>
        <w:rPr>
          <w:rFonts w:eastAsia="Times New Roman"/>
          <w:szCs w:val="24"/>
          <w:lang w:eastAsia="hu-HU"/>
        </w:rPr>
      </w:pPr>
      <w:r>
        <w:rPr>
          <w:rFonts w:eastAsia="Times New Roman"/>
          <w:szCs w:val="24"/>
          <w:lang w:eastAsia="hu-HU"/>
        </w:rPr>
      </w:r>
    </w:p>
    <w:p>
      <w:pPr>
        <w:pStyle w:val="Normal"/>
        <w:jc w:val="both"/>
        <w:rPr>
          <w:rFonts w:eastAsia="Calibri"/>
          <w:szCs w:val="24"/>
        </w:rPr>
      </w:pPr>
      <w:r>
        <w:rPr>
          <w:rFonts w:eastAsia="Calibri"/>
          <w:szCs w:val="24"/>
        </w:rPr>
      </w:r>
    </w:p>
    <w:p>
      <w:pPr>
        <w:pStyle w:val="Normal"/>
        <w:jc w:val="both"/>
        <w:rPr>
          <w:rFonts w:eastAsia="Calibri"/>
          <w:szCs w:val="24"/>
        </w:rPr>
      </w:pPr>
      <w:r>
        <w:rPr>
          <w:rFonts w:eastAsia="Calibri"/>
          <w:szCs w:val="24"/>
        </w:rPr>
        <w:t>Tisztelt Képviselő-testület!</w:t>
      </w:r>
    </w:p>
    <w:p>
      <w:pPr>
        <w:pStyle w:val="Normal"/>
        <w:jc w:val="both"/>
        <w:rPr>
          <w:rFonts w:eastAsia="Calibri"/>
          <w:szCs w:val="24"/>
        </w:rPr>
      </w:pPr>
      <w:r>
        <w:rPr>
          <w:rFonts w:eastAsia="Calibri"/>
          <w:szCs w:val="24"/>
        </w:rPr>
      </w:r>
    </w:p>
    <w:p>
      <w:pPr>
        <w:pStyle w:val="Normal"/>
        <w:jc w:val="both"/>
        <w:rPr>
          <w:rFonts w:eastAsia="Calibri"/>
          <w:szCs w:val="24"/>
        </w:rPr>
      </w:pPr>
      <w:r>
        <w:rPr>
          <w:rFonts w:eastAsia="Calibri"/>
          <w:szCs w:val="24"/>
        </w:rPr>
        <w:t>Röviden ennyiben kívántam beszámolni a Polgármesteri Hivatal munkájáról. Kérem a beszámolóm szíves elfogadását.</w:t>
      </w:r>
    </w:p>
    <w:p>
      <w:pPr>
        <w:pStyle w:val="Normal"/>
        <w:jc w:val="both"/>
        <w:rPr>
          <w:rFonts w:eastAsia="Calibri"/>
          <w:szCs w:val="24"/>
        </w:rPr>
      </w:pPr>
      <w:r>
        <w:rPr>
          <w:rFonts w:eastAsia="Calibri"/>
          <w:szCs w:val="24"/>
        </w:rPr>
      </w:r>
    </w:p>
    <w:p>
      <w:pPr>
        <w:pStyle w:val="Normal"/>
        <w:jc w:val="both"/>
        <w:rPr>
          <w:rFonts w:eastAsia="Calibri"/>
          <w:b/>
          <w:b/>
          <w:szCs w:val="24"/>
          <w:u w:val="single"/>
        </w:rPr>
      </w:pPr>
      <w:r>
        <w:rPr>
          <w:rFonts w:eastAsia="Calibri"/>
          <w:b/>
          <w:szCs w:val="24"/>
          <w:u w:val="single"/>
        </w:rPr>
        <w:t>Határozati javaslat:</w:t>
      </w:r>
    </w:p>
    <w:p>
      <w:pPr>
        <w:pStyle w:val="Normal"/>
        <w:jc w:val="both"/>
        <w:rPr>
          <w:rFonts w:eastAsia="Calibri"/>
          <w:szCs w:val="24"/>
        </w:rPr>
      </w:pPr>
      <w:r>
        <w:rPr>
          <w:rFonts w:eastAsia="Calibri"/>
          <w:szCs w:val="24"/>
        </w:rPr>
        <w:t>A Képviselő-testület a Polgármesteri Hivatal tevékenységéről szóló beszámolót elfogadja.</w:t>
      </w:r>
    </w:p>
    <w:p>
      <w:pPr>
        <w:pStyle w:val="Normal"/>
        <w:jc w:val="both"/>
        <w:rPr>
          <w:rFonts w:eastAsia="Calibri"/>
          <w:szCs w:val="24"/>
        </w:rPr>
      </w:pPr>
      <w:r>
        <w:rPr>
          <w:rFonts w:eastAsia="Calibri"/>
          <w:szCs w:val="24"/>
        </w:rPr>
      </w:r>
    </w:p>
    <w:p>
      <w:pPr>
        <w:pStyle w:val="Normal"/>
        <w:jc w:val="both"/>
        <w:rPr>
          <w:rFonts w:eastAsia="Calibri"/>
          <w:szCs w:val="24"/>
        </w:rPr>
      </w:pPr>
      <w:r>
        <w:rPr>
          <w:rFonts w:eastAsia="Calibri"/>
          <w:szCs w:val="24"/>
        </w:rPr>
      </w:r>
    </w:p>
    <w:p>
      <w:pPr>
        <w:pStyle w:val="Normal"/>
        <w:jc w:val="both"/>
        <w:rPr>
          <w:rFonts w:eastAsia="Calibri"/>
          <w:szCs w:val="24"/>
        </w:rPr>
      </w:pPr>
      <w:r>
        <w:rPr>
          <w:rFonts w:eastAsia="Calibri"/>
          <w:szCs w:val="24"/>
        </w:rPr>
        <w:t>Gádoros, 2017. szeptember 14.</w:t>
      </w:r>
    </w:p>
    <w:p>
      <w:pPr>
        <w:pStyle w:val="Normal"/>
        <w:jc w:val="both"/>
        <w:rPr>
          <w:rFonts w:eastAsia="Calibri"/>
          <w:szCs w:val="24"/>
        </w:rPr>
      </w:pPr>
      <w:r>
        <w:rPr>
          <w:rFonts w:eastAsia="Calibri"/>
          <w:szCs w:val="24"/>
        </w:rPr>
      </w:r>
    </w:p>
    <w:p>
      <w:pPr>
        <w:pStyle w:val="Normal"/>
        <w:ind w:left="6237" w:hanging="0"/>
        <w:jc w:val="both"/>
        <w:rPr>
          <w:rFonts w:eastAsia="Calibri"/>
          <w:szCs w:val="24"/>
        </w:rPr>
      </w:pPr>
      <w:r>
        <w:rPr>
          <w:rFonts w:eastAsia="Calibri"/>
          <w:szCs w:val="24"/>
        </w:rPr>
      </w:r>
    </w:p>
    <w:p>
      <w:pPr>
        <w:pStyle w:val="Normal"/>
        <w:ind w:left="6237" w:hanging="0"/>
        <w:jc w:val="both"/>
        <w:rPr>
          <w:rFonts w:eastAsia="Calibri"/>
          <w:szCs w:val="24"/>
        </w:rPr>
      </w:pPr>
      <w:r>
        <w:rPr>
          <w:rFonts w:eastAsia="Calibri"/>
          <w:szCs w:val="24"/>
        </w:rPr>
        <w:t>Dr. Olasz Imréné dr.</w:t>
      </w:r>
    </w:p>
    <w:p>
      <w:pPr>
        <w:pStyle w:val="Normal"/>
        <w:widowControl/>
        <w:bidi w:val="0"/>
        <w:ind w:left="6803" w:right="0" w:hanging="0"/>
        <w:jc w:val="both"/>
        <w:rPr/>
      </w:pPr>
      <w:r>
        <w:rPr>
          <w:rFonts w:eastAsia="Calibri"/>
          <w:szCs w:val="24"/>
        </w:rPr>
        <w:t>jegyző</w:t>
      </w:r>
    </w:p>
    <w:p>
      <w:pPr>
        <w:pStyle w:val="Normal"/>
        <w:spacing w:lineRule="auto" w:line="259"/>
        <w:jc w:val="both"/>
        <w:rPr>
          <w:rFonts w:eastAsia="Calibri"/>
          <w:szCs w:val="24"/>
        </w:rPr>
      </w:pPr>
      <w:r>
        <w:rPr>
          <w:rFonts w:eastAsia="Calibri"/>
          <w:szCs w:val="24"/>
        </w:rPr>
      </w:r>
    </w:p>
    <w:p>
      <w:pPr>
        <w:pStyle w:val="Normal"/>
        <w:jc w:val="both"/>
        <w:rPr/>
      </w:pPr>
      <w:r>
        <w:rPr/>
      </w:r>
    </w:p>
    <w:sectPr>
      <w:footerReference w:type="default" r:id="rId2"/>
      <w:type w:val="nextPage"/>
      <w:pgSz w:w="11906" w:h="16838"/>
      <w:pgMar w:left="1417" w:right="1417" w:header="0" w:top="1417" w:footer="708" w:bottom="1417"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Segoe UI">
    <w:charset w:val="ee"/>
    <w:family w:val="roman"/>
    <w:pitch w:val="variable"/>
  </w:font>
  <w:font w:name="Liberation Sans">
    <w:altName w:val="Arial"/>
    <w:charset w:val="ee"/>
    <w:family w:val="roman"/>
    <w:pitch w:val="variable"/>
  </w:font>
  <w:font w:name="Arial">
    <w:charset w:val="ee"/>
    <w:family w:val="roman"/>
    <w:pitch w:val="variable"/>
  </w:font>
  <w:font w:name="Times New Roman">
    <w:charset w:val="01"/>
    <w:family w:val="roman"/>
    <w:pitch w:val="variable"/>
  </w:font>
  <w:font w:name="Calibri">
    <w:altName w:val="sans-serif"/>
    <w:charset w:val="ee"/>
    <w:family w:val="auto"/>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577141988"/>
    </w:sdtPr>
    <w:sdtContent>
      <w:p>
        <w:pPr>
          <w:pStyle w:val="Llb"/>
          <w:jc w:val="center"/>
          <w:rPr/>
        </w:pPr>
        <w:r>
          <w:rPr/>
          <w:fldChar w:fldCharType="begin"/>
        </w:r>
        <w:r>
          <w:instrText> PAGE </w:instrText>
        </w:r>
        <w:r>
          <w:fldChar w:fldCharType="separate"/>
        </w:r>
        <w:r>
          <w:t>2</w:t>
        </w:r>
        <w:r>
          <w:fldChar w:fldCharType="end"/>
        </w:r>
        <w:r>
          <w:rPr/>
          <w:t>.</w:t>
        </w:r>
      </w:p>
    </w:sdtContent>
  </w:sdt>
  <w:p>
    <w:pPr>
      <w:pStyle w:val="Llb"/>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sz w:val="20"/>
        <w:rFonts w:cs="Symbol"/>
      </w:rPr>
    </w:lvl>
    <w:lvl w:ilvl="1">
      <w:start w:val="1"/>
      <w:numFmt w:val="bullet"/>
      <w:lvlText w:val=""/>
      <w:lvlJc w:val="left"/>
      <w:pPr>
        <w:tabs>
          <w:tab w:val="num" w:pos="1440"/>
        </w:tabs>
        <w:ind w:left="1440" w:hanging="360"/>
      </w:pPr>
      <w:rPr>
        <w:rFonts w:ascii="Symbol" w:hAnsi="Symbol" w:cs="Symbol" w:hint="default"/>
        <w:sz w:val="20"/>
        <w:rFonts w:cs="Symbol"/>
      </w:rPr>
    </w:lvl>
    <w:lvl w:ilvl="2">
      <w:start w:val="1"/>
      <w:numFmt w:val="bullet"/>
      <w:lvlText w:val=""/>
      <w:lvlJc w:val="left"/>
      <w:pPr>
        <w:tabs>
          <w:tab w:val="num" w:pos="2160"/>
        </w:tabs>
        <w:ind w:left="2160" w:hanging="360"/>
      </w:pPr>
      <w:rPr>
        <w:rFonts w:ascii="Symbol" w:hAnsi="Symbol" w:cs="Symbol" w:hint="default"/>
        <w:sz w:val="20"/>
        <w:rFonts w:cs="Symbol"/>
      </w:rPr>
    </w:lvl>
    <w:lvl w:ilvl="3">
      <w:start w:val="1"/>
      <w:numFmt w:val="bullet"/>
      <w:lvlText w:val=""/>
      <w:lvlJc w:val="left"/>
      <w:pPr>
        <w:tabs>
          <w:tab w:val="num" w:pos="2880"/>
        </w:tabs>
        <w:ind w:left="2880" w:hanging="360"/>
      </w:pPr>
      <w:rPr>
        <w:rFonts w:ascii="Symbol" w:hAnsi="Symbol" w:cs="Symbol" w:hint="default"/>
        <w:sz w:val="20"/>
        <w:rFonts w:cs="Symbol"/>
      </w:rPr>
    </w:lvl>
    <w:lvl w:ilvl="4">
      <w:start w:val="1"/>
      <w:numFmt w:val="bullet"/>
      <w:lvlText w:val=""/>
      <w:lvlJc w:val="left"/>
      <w:pPr>
        <w:tabs>
          <w:tab w:val="num" w:pos="3600"/>
        </w:tabs>
        <w:ind w:left="3600" w:hanging="360"/>
      </w:pPr>
      <w:rPr>
        <w:rFonts w:ascii="Symbol" w:hAnsi="Symbol" w:cs="Symbol" w:hint="default"/>
        <w:sz w:val="20"/>
        <w:rFonts w:cs="Symbol"/>
      </w:rPr>
    </w:lvl>
    <w:lvl w:ilvl="5">
      <w:start w:val="1"/>
      <w:numFmt w:val="bullet"/>
      <w:lvlText w:val=""/>
      <w:lvlJc w:val="left"/>
      <w:pPr>
        <w:tabs>
          <w:tab w:val="num" w:pos="4320"/>
        </w:tabs>
        <w:ind w:left="4320" w:hanging="360"/>
      </w:pPr>
      <w:rPr>
        <w:rFonts w:ascii="Symbol" w:hAnsi="Symbol" w:cs="Symbol" w:hint="default"/>
        <w:sz w:val="20"/>
        <w:rFonts w:cs="Symbol"/>
      </w:rPr>
    </w:lvl>
    <w:lvl w:ilvl="6">
      <w:start w:val="1"/>
      <w:numFmt w:val="bullet"/>
      <w:lvlText w:val=""/>
      <w:lvlJc w:val="left"/>
      <w:pPr>
        <w:tabs>
          <w:tab w:val="num" w:pos="5040"/>
        </w:tabs>
        <w:ind w:left="5040" w:hanging="360"/>
      </w:pPr>
      <w:rPr>
        <w:rFonts w:ascii="Symbol" w:hAnsi="Symbol" w:cs="Symbol" w:hint="default"/>
        <w:sz w:val="20"/>
        <w:rFonts w:cs="Symbol"/>
      </w:rPr>
    </w:lvl>
    <w:lvl w:ilvl="7">
      <w:start w:val="1"/>
      <w:numFmt w:val="bullet"/>
      <w:lvlText w:val=""/>
      <w:lvlJc w:val="left"/>
      <w:pPr>
        <w:tabs>
          <w:tab w:val="num" w:pos="5760"/>
        </w:tabs>
        <w:ind w:left="5760" w:hanging="360"/>
      </w:pPr>
      <w:rPr>
        <w:rFonts w:ascii="Symbol" w:hAnsi="Symbol" w:cs="Symbol" w:hint="default"/>
        <w:sz w:val="20"/>
        <w:rFonts w:cs="Symbol"/>
      </w:rPr>
    </w:lvl>
    <w:lvl w:ilvl="8">
      <w:start w:val="1"/>
      <w:numFmt w:val="bullet"/>
      <w:lvlText w:val=""/>
      <w:lvlJc w:val="left"/>
      <w:pPr>
        <w:tabs>
          <w:tab w:val="num" w:pos="6480"/>
        </w:tabs>
        <w:ind w:left="6480" w:hanging="360"/>
      </w:pPr>
      <w:rPr>
        <w:rFonts w:ascii="Symbol" w:hAnsi="Symbol" w:cs="Symbol" w:hint="default"/>
        <w:sz w:val="20"/>
        <w:rFonts w:cs="Symbol"/>
      </w:rPr>
    </w:lvl>
  </w:abstractNum>
  <w:abstractNum w:abstractNumId="2">
    <w:lvl w:ilvl="0">
      <w:start w:val="1"/>
      <w:numFmt w:val="bullet"/>
      <w:lvlText w:val=""/>
      <w:lvlJc w:val="left"/>
      <w:pPr>
        <w:tabs>
          <w:tab w:val="num" w:pos="720"/>
        </w:tabs>
        <w:ind w:left="720" w:hanging="360"/>
      </w:pPr>
      <w:rPr>
        <w:rFonts w:ascii="Symbol" w:hAnsi="Symbol" w:cs="Symbol" w:hint="default"/>
        <w:sz w:val="20"/>
        <w:rFonts w:cs="Symbol"/>
      </w:rPr>
    </w:lvl>
    <w:lvl w:ilvl="1">
      <w:start w:val="1"/>
      <w:numFmt w:val="bullet"/>
      <w:lvlText w:val=""/>
      <w:lvlJc w:val="left"/>
      <w:pPr>
        <w:tabs>
          <w:tab w:val="num" w:pos="1440"/>
        </w:tabs>
        <w:ind w:left="1440" w:hanging="360"/>
      </w:pPr>
      <w:rPr>
        <w:rFonts w:ascii="Symbol" w:hAnsi="Symbol" w:cs="Symbol" w:hint="default"/>
        <w:sz w:val="20"/>
        <w:rFonts w:cs="Symbol"/>
      </w:rPr>
    </w:lvl>
    <w:lvl w:ilvl="2">
      <w:start w:val="1"/>
      <w:numFmt w:val="bullet"/>
      <w:lvlText w:val=""/>
      <w:lvlJc w:val="left"/>
      <w:pPr>
        <w:tabs>
          <w:tab w:val="num" w:pos="2160"/>
        </w:tabs>
        <w:ind w:left="2160" w:hanging="360"/>
      </w:pPr>
      <w:rPr>
        <w:rFonts w:ascii="Symbol" w:hAnsi="Symbol" w:cs="Symbol" w:hint="default"/>
        <w:sz w:val="20"/>
        <w:rFonts w:cs="Symbol"/>
      </w:rPr>
    </w:lvl>
    <w:lvl w:ilvl="3">
      <w:start w:val="1"/>
      <w:numFmt w:val="bullet"/>
      <w:lvlText w:val=""/>
      <w:lvlJc w:val="left"/>
      <w:pPr>
        <w:tabs>
          <w:tab w:val="num" w:pos="2880"/>
        </w:tabs>
        <w:ind w:left="2880" w:hanging="360"/>
      </w:pPr>
      <w:rPr>
        <w:rFonts w:ascii="Symbol" w:hAnsi="Symbol" w:cs="Symbol" w:hint="default"/>
        <w:sz w:val="20"/>
        <w:rFonts w:cs="Symbol"/>
      </w:rPr>
    </w:lvl>
    <w:lvl w:ilvl="4">
      <w:start w:val="1"/>
      <w:numFmt w:val="bullet"/>
      <w:lvlText w:val=""/>
      <w:lvlJc w:val="left"/>
      <w:pPr>
        <w:tabs>
          <w:tab w:val="num" w:pos="3600"/>
        </w:tabs>
        <w:ind w:left="3600" w:hanging="360"/>
      </w:pPr>
      <w:rPr>
        <w:rFonts w:ascii="Symbol" w:hAnsi="Symbol" w:cs="Symbol" w:hint="default"/>
        <w:sz w:val="20"/>
        <w:rFonts w:cs="Symbol"/>
      </w:rPr>
    </w:lvl>
    <w:lvl w:ilvl="5">
      <w:start w:val="1"/>
      <w:numFmt w:val="bullet"/>
      <w:lvlText w:val=""/>
      <w:lvlJc w:val="left"/>
      <w:pPr>
        <w:tabs>
          <w:tab w:val="num" w:pos="4320"/>
        </w:tabs>
        <w:ind w:left="4320" w:hanging="360"/>
      </w:pPr>
      <w:rPr>
        <w:rFonts w:ascii="Symbol" w:hAnsi="Symbol" w:cs="Symbol" w:hint="default"/>
        <w:sz w:val="20"/>
        <w:rFonts w:cs="Symbol"/>
      </w:rPr>
    </w:lvl>
    <w:lvl w:ilvl="6">
      <w:start w:val="1"/>
      <w:numFmt w:val="bullet"/>
      <w:lvlText w:val=""/>
      <w:lvlJc w:val="left"/>
      <w:pPr>
        <w:tabs>
          <w:tab w:val="num" w:pos="5040"/>
        </w:tabs>
        <w:ind w:left="5040" w:hanging="360"/>
      </w:pPr>
      <w:rPr>
        <w:rFonts w:ascii="Symbol" w:hAnsi="Symbol" w:cs="Symbol" w:hint="default"/>
        <w:sz w:val="20"/>
        <w:rFonts w:cs="Symbol"/>
      </w:rPr>
    </w:lvl>
    <w:lvl w:ilvl="7">
      <w:start w:val="1"/>
      <w:numFmt w:val="bullet"/>
      <w:lvlText w:val=""/>
      <w:lvlJc w:val="left"/>
      <w:pPr>
        <w:tabs>
          <w:tab w:val="num" w:pos="5760"/>
        </w:tabs>
        <w:ind w:left="5760" w:hanging="360"/>
      </w:pPr>
      <w:rPr>
        <w:rFonts w:ascii="Symbol" w:hAnsi="Symbol" w:cs="Symbol" w:hint="default"/>
        <w:sz w:val="20"/>
        <w:rFonts w:cs="Symbol"/>
      </w:rPr>
    </w:lvl>
    <w:lvl w:ilvl="8">
      <w:start w:val="1"/>
      <w:numFmt w:val="bullet"/>
      <w:lvlText w:val=""/>
      <w:lvlJc w:val="left"/>
      <w:pPr>
        <w:tabs>
          <w:tab w:val="num" w:pos="6480"/>
        </w:tabs>
        <w:ind w:left="6480" w:hanging="360"/>
      </w:pPr>
      <w:rPr>
        <w:rFonts w:ascii="Symbol" w:hAnsi="Symbol" w:cs="Symbol" w:hint="default"/>
        <w:sz w:val="20"/>
        <w:rFonts w:cs="Symbol"/>
      </w:r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sz w:val="20"/>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sz w:val="20"/>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hu-H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szCs w:val="22"/>
        <w:lang w:val="hu-HU"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jc w:val="left"/>
    </w:pPr>
    <w:rPr>
      <w:rFonts w:ascii="Times New Roman" w:hAnsi="Times New Roman" w:eastAsia="Calibri" w:cs="Times New Roman" w:eastAsiaTheme="minorHAnsi"/>
      <w:color w:val="00000A"/>
      <w:sz w:val="24"/>
      <w:szCs w:val="22"/>
      <w:lang w:val="hu-HU" w:eastAsia="en-US" w:bidi="ar-SA"/>
    </w:rPr>
  </w:style>
  <w:style w:type="character" w:styleId="DefaultParagraphFont" w:default="1">
    <w:name w:val="Default Paragraph Font"/>
    <w:uiPriority w:val="1"/>
    <w:semiHidden/>
    <w:unhideWhenUsed/>
    <w:qFormat/>
    <w:rPr/>
  </w:style>
  <w:style w:type="character" w:styleId="LlbChar" w:customStyle="1">
    <w:name w:val="Élőláb Char"/>
    <w:basedOn w:val="DefaultParagraphFont"/>
    <w:link w:val="llb"/>
    <w:uiPriority w:val="99"/>
    <w:qFormat/>
    <w:rsid w:val="00c03c29"/>
    <w:rPr>
      <w:rFonts w:eastAsia="Calibri"/>
      <w:szCs w:val="24"/>
    </w:rPr>
  </w:style>
  <w:style w:type="character" w:styleId="BuborkszvegChar" w:customStyle="1">
    <w:name w:val="Buborékszöveg Char"/>
    <w:basedOn w:val="DefaultParagraphFont"/>
    <w:link w:val="Buborkszveg"/>
    <w:uiPriority w:val="99"/>
    <w:semiHidden/>
    <w:qFormat/>
    <w:rsid w:val="007f4bdb"/>
    <w:rPr>
      <w:rFonts w:ascii="Segoe UI" w:hAnsi="Segoe UI" w:cs="Segoe UI"/>
      <w:sz w:val="18"/>
      <w:szCs w:val="18"/>
    </w:rPr>
  </w:style>
  <w:style w:type="character" w:styleId="ListLabel1">
    <w:name w:val="ListLabel 1"/>
    <w:qFormat/>
    <w:rPr>
      <w:sz w:val="20"/>
    </w:rPr>
  </w:style>
  <w:style w:type="character" w:styleId="ListLabel2">
    <w:name w:val="ListLabel 2"/>
    <w:qFormat/>
    <w:rPr>
      <w:sz w:val="20"/>
    </w:rPr>
  </w:style>
  <w:style w:type="character" w:styleId="ListLabel3">
    <w:name w:val="ListLabel 3"/>
    <w:qFormat/>
    <w:rPr>
      <w:sz w:val="20"/>
    </w:rPr>
  </w:style>
  <w:style w:type="character" w:styleId="ListLabel4">
    <w:name w:val="ListLabel 4"/>
    <w:qFormat/>
    <w:rPr>
      <w:sz w:val="20"/>
    </w:rPr>
  </w:style>
  <w:style w:type="character" w:styleId="ListLabel5">
    <w:name w:val="ListLabel 5"/>
    <w:qFormat/>
    <w:rPr>
      <w:sz w:val="20"/>
    </w:rPr>
  </w:style>
  <w:style w:type="character" w:styleId="ListLabel6">
    <w:name w:val="ListLabel 6"/>
    <w:qFormat/>
    <w:rPr>
      <w:sz w:val="20"/>
    </w:rPr>
  </w:style>
  <w:style w:type="character" w:styleId="ListLabel7">
    <w:name w:val="ListLabel 7"/>
    <w:qFormat/>
    <w:rPr>
      <w:sz w:val="20"/>
    </w:rPr>
  </w:style>
  <w:style w:type="character" w:styleId="ListLabel8">
    <w:name w:val="ListLabel 8"/>
    <w:qFormat/>
    <w:rPr>
      <w:sz w:val="20"/>
    </w:rPr>
  </w:style>
  <w:style w:type="character" w:styleId="ListLabel9">
    <w:name w:val="ListLabel 9"/>
    <w:qFormat/>
    <w:rPr>
      <w:sz w:val="20"/>
    </w:rPr>
  </w:style>
  <w:style w:type="character" w:styleId="ListLabel10">
    <w:name w:val="ListLabel 10"/>
    <w:qFormat/>
    <w:rPr>
      <w:sz w:val="20"/>
    </w:rPr>
  </w:style>
  <w:style w:type="character" w:styleId="ListLabel11">
    <w:name w:val="ListLabel 11"/>
    <w:qFormat/>
    <w:rPr>
      <w:sz w:val="20"/>
    </w:rPr>
  </w:style>
  <w:style w:type="character" w:styleId="ListLabel12">
    <w:name w:val="ListLabel 12"/>
    <w:qFormat/>
    <w:rPr>
      <w:sz w:val="20"/>
    </w:rPr>
  </w:style>
  <w:style w:type="character" w:styleId="ListLabel13">
    <w:name w:val="ListLabel 13"/>
    <w:qFormat/>
    <w:rPr>
      <w:sz w:val="20"/>
    </w:rPr>
  </w:style>
  <w:style w:type="character" w:styleId="ListLabel14">
    <w:name w:val="ListLabel 14"/>
    <w:qFormat/>
    <w:rPr>
      <w:sz w:val="20"/>
    </w:rPr>
  </w:style>
  <w:style w:type="character" w:styleId="ListLabel15">
    <w:name w:val="ListLabel 15"/>
    <w:qFormat/>
    <w:rPr>
      <w:sz w:val="20"/>
    </w:rPr>
  </w:style>
  <w:style w:type="character" w:styleId="ListLabel16">
    <w:name w:val="ListLabel 16"/>
    <w:qFormat/>
    <w:rPr>
      <w:sz w:val="20"/>
    </w:rPr>
  </w:style>
  <w:style w:type="character" w:styleId="ListLabel17">
    <w:name w:val="ListLabel 17"/>
    <w:qFormat/>
    <w:rPr>
      <w:sz w:val="20"/>
    </w:rPr>
  </w:style>
  <w:style w:type="character" w:styleId="ListLabel18">
    <w:name w:val="ListLabel 18"/>
    <w:qFormat/>
    <w:rPr>
      <w:sz w:val="20"/>
    </w:rPr>
  </w:style>
  <w:style w:type="character" w:styleId="ListLabel19">
    <w:name w:val="ListLabel 19"/>
    <w:qFormat/>
    <w:rPr>
      <w:rFonts w:cs="Symbol"/>
      <w:sz w:val="20"/>
    </w:rPr>
  </w:style>
  <w:style w:type="character" w:styleId="ListLabel20">
    <w:name w:val="ListLabel 20"/>
    <w:qFormat/>
    <w:rPr>
      <w:rFonts w:cs="Symbol"/>
      <w:sz w:val="20"/>
    </w:rPr>
  </w:style>
  <w:style w:type="character" w:styleId="ListLabel21">
    <w:name w:val="ListLabel 21"/>
    <w:qFormat/>
    <w:rPr>
      <w:rFonts w:cs="Symbol"/>
      <w:sz w:val="20"/>
    </w:rPr>
  </w:style>
  <w:style w:type="character" w:styleId="ListLabel22">
    <w:name w:val="ListLabel 22"/>
    <w:qFormat/>
    <w:rPr>
      <w:rFonts w:cs="Symbol"/>
      <w:sz w:val="20"/>
    </w:rPr>
  </w:style>
  <w:style w:type="character" w:styleId="ListLabel23">
    <w:name w:val="ListLabel 23"/>
    <w:qFormat/>
    <w:rPr>
      <w:rFonts w:cs="Symbol"/>
      <w:sz w:val="20"/>
    </w:rPr>
  </w:style>
  <w:style w:type="character" w:styleId="ListLabel24">
    <w:name w:val="ListLabel 24"/>
    <w:qFormat/>
    <w:rPr>
      <w:rFonts w:cs="Symbol"/>
      <w:sz w:val="20"/>
    </w:rPr>
  </w:style>
  <w:style w:type="character" w:styleId="ListLabel25">
    <w:name w:val="ListLabel 25"/>
    <w:qFormat/>
    <w:rPr>
      <w:rFonts w:cs="Symbol"/>
      <w:sz w:val="20"/>
    </w:rPr>
  </w:style>
  <w:style w:type="character" w:styleId="ListLabel26">
    <w:name w:val="ListLabel 26"/>
    <w:qFormat/>
    <w:rPr>
      <w:rFonts w:cs="Symbol"/>
      <w:sz w:val="20"/>
    </w:rPr>
  </w:style>
  <w:style w:type="character" w:styleId="ListLabel27">
    <w:name w:val="ListLabel 27"/>
    <w:qFormat/>
    <w:rPr>
      <w:rFonts w:cs="Symbol"/>
      <w:sz w:val="20"/>
    </w:rPr>
  </w:style>
  <w:style w:type="character" w:styleId="ListLabel28">
    <w:name w:val="ListLabel 28"/>
    <w:qFormat/>
    <w:rPr>
      <w:rFonts w:cs="Symbol"/>
      <w:sz w:val="20"/>
    </w:rPr>
  </w:style>
  <w:style w:type="character" w:styleId="ListLabel29">
    <w:name w:val="ListLabel 29"/>
    <w:qFormat/>
    <w:rPr>
      <w:rFonts w:cs="Symbol"/>
      <w:sz w:val="20"/>
    </w:rPr>
  </w:style>
  <w:style w:type="character" w:styleId="ListLabel30">
    <w:name w:val="ListLabel 30"/>
    <w:qFormat/>
    <w:rPr>
      <w:rFonts w:cs="Symbol"/>
      <w:sz w:val="20"/>
    </w:rPr>
  </w:style>
  <w:style w:type="character" w:styleId="ListLabel31">
    <w:name w:val="ListLabel 31"/>
    <w:qFormat/>
    <w:rPr>
      <w:rFonts w:cs="Symbol"/>
      <w:sz w:val="20"/>
    </w:rPr>
  </w:style>
  <w:style w:type="character" w:styleId="ListLabel32">
    <w:name w:val="ListLabel 32"/>
    <w:qFormat/>
    <w:rPr>
      <w:rFonts w:cs="Symbol"/>
      <w:sz w:val="20"/>
    </w:rPr>
  </w:style>
  <w:style w:type="character" w:styleId="ListLabel33">
    <w:name w:val="ListLabel 33"/>
    <w:qFormat/>
    <w:rPr>
      <w:rFonts w:cs="Symbol"/>
      <w:sz w:val="20"/>
    </w:rPr>
  </w:style>
  <w:style w:type="character" w:styleId="ListLabel34">
    <w:name w:val="ListLabel 34"/>
    <w:qFormat/>
    <w:rPr>
      <w:rFonts w:cs="Symbol"/>
      <w:sz w:val="20"/>
    </w:rPr>
  </w:style>
  <w:style w:type="character" w:styleId="ListLabel35">
    <w:name w:val="ListLabel 35"/>
    <w:qFormat/>
    <w:rPr>
      <w:rFonts w:cs="Symbol"/>
      <w:sz w:val="20"/>
    </w:rPr>
  </w:style>
  <w:style w:type="character" w:styleId="ListLabel36">
    <w:name w:val="ListLabel 36"/>
    <w:qFormat/>
    <w:rPr>
      <w:rFonts w:cs="Symbol"/>
      <w:sz w:val="20"/>
    </w:rPr>
  </w:style>
  <w:style w:type="character" w:styleId="ListLabel37">
    <w:name w:val="ListLabel 37"/>
    <w:qFormat/>
    <w:rPr>
      <w:rFonts w:cs="Symbol"/>
      <w:sz w:val="20"/>
    </w:rPr>
  </w:style>
  <w:style w:type="character" w:styleId="ListLabel38">
    <w:name w:val="ListLabel 38"/>
    <w:qFormat/>
    <w:rPr>
      <w:rFonts w:cs="Symbol"/>
      <w:sz w:val="20"/>
    </w:rPr>
  </w:style>
  <w:style w:type="character" w:styleId="ListLabel39">
    <w:name w:val="ListLabel 39"/>
    <w:qFormat/>
    <w:rPr>
      <w:rFonts w:cs="Symbol"/>
      <w:sz w:val="20"/>
    </w:rPr>
  </w:style>
  <w:style w:type="character" w:styleId="ListLabel40">
    <w:name w:val="ListLabel 40"/>
    <w:qFormat/>
    <w:rPr>
      <w:rFonts w:cs="Symbol"/>
      <w:sz w:val="20"/>
    </w:rPr>
  </w:style>
  <w:style w:type="character" w:styleId="ListLabel41">
    <w:name w:val="ListLabel 41"/>
    <w:qFormat/>
    <w:rPr>
      <w:rFonts w:cs="Symbol"/>
      <w:sz w:val="20"/>
    </w:rPr>
  </w:style>
  <w:style w:type="character" w:styleId="ListLabel42">
    <w:name w:val="ListLabel 42"/>
    <w:qFormat/>
    <w:rPr>
      <w:rFonts w:cs="Symbol"/>
      <w:sz w:val="20"/>
    </w:rPr>
  </w:style>
  <w:style w:type="character" w:styleId="ListLabel43">
    <w:name w:val="ListLabel 43"/>
    <w:qFormat/>
    <w:rPr>
      <w:rFonts w:cs="Symbol"/>
      <w:sz w:val="20"/>
    </w:rPr>
  </w:style>
  <w:style w:type="character" w:styleId="ListLabel44">
    <w:name w:val="ListLabel 44"/>
    <w:qFormat/>
    <w:rPr>
      <w:rFonts w:cs="Symbol"/>
      <w:sz w:val="20"/>
    </w:rPr>
  </w:style>
  <w:style w:type="character" w:styleId="ListLabel45">
    <w:name w:val="ListLabel 45"/>
    <w:qFormat/>
    <w:rPr>
      <w:rFonts w:cs="Symbol"/>
      <w:sz w:val="20"/>
    </w:rPr>
  </w:style>
  <w:style w:type="character" w:styleId="ListLabel46">
    <w:name w:val="ListLabel 46"/>
    <w:qFormat/>
    <w:rPr>
      <w:rFonts w:cs="Symbol"/>
      <w:sz w:val="20"/>
    </w:rPr>
  </w:style>
  <w:style w:type="character" w:styleId="ListLabel47">
    <w:name w:val="ListLabel 47"/>
    <w:qFormat/>
    <w:rPr>
      <w:rFonts w:cs="Symbol"/>
      <w:sz w:val="20"/>
    </w:rPr>
  </w:style>
  <w:style w:type="character" w:styleId="ListLabel48">
    <w:name w:val="ListLabel 48"/>
    <w:qFormat/>
    <w:rPr>
      <w:rFonts w:cs="Symbol"/>
      <w:sz w:val="20"/>
    </w:rPr>
  </w:style>
  <w:style w:type="character" w:styleId="ListLabel49">
    <w:name w:val="ListLabel 49"/>
    <w:qFormat/>
    <w:rPr>
      <w:rFonts w:cs="Symbol"/>
      <w:sz w:val="20"/>
    </w:rPr>
  </w:style>
  <w:style w:type="character" w:styleId="ListLabel50">
    <w:name w:val="ListLabel 50"/>
    <w:qFormat/>
    <w:rPr>
      <w:rFonts w:cs="Symbol"/>
      <w:sz w:val="20"/>
    </w:rPr>
  </w:style>
  <w:style w:type="character" w:styleId="ListLabel51">
    <w:name w:val="ListLabel 51"/>
    <w:qFormat/>
    <w:rPr>
      <w:rFonts w:cs="Symbol"/>
      <w:sz w:val="20"/>
    </w:rPr>
  </w:style>
  <w:style w:type="character" w:styleId="ListLabel52">
    <w:name w:val="ListLabel 52"/>
    <w:qFormat/>
    <w:rPr>
      <w:rFonts w:cs="Symbol"/>
      <w:sz w:val="20"/>
    </w:rPr>
  </w:style>
  <w:style w:type="character" w:styleId="ListLabel53">
    <w:name w:val="ListLabel 53"/>
    <w:qFormat/>
    <w:rPr>
      <w:rFonts w:cs="Symbol"/>
      <w:sz w:val="20"/>
    </w:rPr>
  </w:style>
  <w:style w:type="character" w:styleId="ListLabel54">
    <w:name w:val="ListLabel 54"/>
    <w:qFormat/>
    <w:rPr>
      <w:rFonts w:cs="Symbol"/>
      <w:sz w:val="20"/>
    </w:rPr>
  </w:style>
  <w:style w:type="character" w:styleId="ListLabel55">
    <w:name w:val="ListLabel 55"/>
    <w:qFormat/>
    <w:rPr>
      <w:rFonts w:cs="Symbol"/>
      <w:sz w:val="20"/>
    </w:rPr>
  </w:style>
  <w:style w:type="character" w:styleId="ListLabel56">
    <w:name w:val="ListLabel 56"/>
    <w:qFormat/>
    <w:rPr>
      <w:rFonts w:cs="Symbol"/>
      <w:sz w:val="20"/>
    </w:rPr>
  </w:style>
  <w:style w:type="character" w:styleId="ListLabel57">
    <w:name w:val="ListLabel 57"/>
    <w:qFormat/>
    <w:rPr>
      <w:rFonts w:cs="Symbol"/>
      <w:sz w:val="20"/>
    </w:rPr>
  </w:style>
  <w:style w:type="character" w:styleId="ListLabel58">
    <w:name w:val="ListLabel 58"/>
    <w:qFormat/>
    <w:rPr>
      <w:rFonts w:cs="Symbol"/>
      <w:sz w:val="20"/>
    </w:rPr>
  </w:style>
  <w:style w:type="character" w:styleId="ListLabel59">
    <w:name w:val="ListLabel 59"/>
    <w:qFormat/>
    <w:rPr>
      <w:rFonts w:cs="Symbol"/>
      <w:sz w:val="20"/>
    </w:rPr>
  </w:style>
  <w:style w:type="character" w:styleId="ListLabel60">
    <w:name w:val="ListLabel 60"/>
    <w:qFormat/>
    <w:rPr>
      <w:rFonts w:cs="Symbol"/>
      <w:sz w:val="20"/>
    </w:rPr>
  </w:style>
  <w:style w:type="character" w:styleId="ListLabel61">
    <w:name w:val="ListLabel 61"/>
    <w:qFormat/>
    <w:rPr>
      <w:rFonts w:cs="Symbol"/>
      <w:sz w:val="20"/>
    </w:rPr>
  </w:style>
  <w:style w:type="character" w:styleId="ListLabel62">
    <w:name w:val="ListLabel 62"/>
    <w:qFormat/>
    <w:rPr>
      <w:rFonts w:cs="Symbol"/>
      <w:sz w:val="20"/>
    </w:rPr>
  </w:style>
  <w:style w:type="character" w:styleId="ListLabel63">
    <w:name w:val="ListLabel 63"/>
    <w:qFormat/>
    <w:rPr>
      <w:rFonts w:cs="Symbol"/>
      <w:sz w:val="20"/>
    </w:rPr>
  </w:style>
  <w:style w:type="character" w:styleId="ListLabel64">
    <w:name w:val="ListLabel 64"/>
    <w:qFormat/>
    <w:rPr>
      <w:rFonts w:cs="Symbol"/>
      <w:sz w:val="20"/>
    </w:rPr>
  </w:style>
  <w:style w:type="character" w:styleId="ListLabel65">
    <w:name w:val="ListLabel 65"/>
    <w:qFormat/>
    <w:rPr>
      <w:rFonts w:cs="Symbol"/>
      <w:sz w:val="20"/>
    </w:rPr>
  </w:style>
  <w:style w:type="character" w:styleId="ListLabel66">
    <w:name w:val="ListLabel 66"/>
    <w:qFormat/>
    <w:rPr>
      <w:rFonts w:cs="Symbol"/>
      <w:sz w:val="20"/>
    </w:rPr>
  </w:style>
  <w:style w:type="character" w:styleId="ListLabel67">
    <w:name w:val="ListLabel 67"/>
    <w:qFormat/>
    <w:rPr>
      <w:rFonts w:cs="Symbol"/>
      <w:sz w:val="20"/>
    </w:rPr>
  </w:style>
  <w:style w:type="character" w:styleId="ListLabel68">
    <w:name w:val="ListLabel 68"/>
    <w:qFormat/>
    <w:rPr>
      <w:rFonts w:cs="Symbol"/>
      <w:sz w:val="20"/>
    </w:rPr>
  </w:style>
  <w:style w:type="character" w:styleId="ListLabel69">
    <w:name w:val="ListLabel 69"/>
    <w:qFormat/>
    <w:rPr>
      <w:rFonts w:cs="Symbol"/>
      <w:sz w:val="20"/>
    </w:rPr>
  </w:style>
  <w:style w:type="character" w:styleId="ListLabel70">
    <w:name w:val="ListLabel 70"/>
    <w:qFormat/>
    <w:rPr>
      <w:rFonts w:cs="Symbol"/>
      <w:sz w:val="20"/>
    </w:rPr>
  </w:style>
  <w:style w:type="character" w:styleId="ListLabel71">
    <w:name w:val="ListLabel 71"/>
    <w:qFormat/>
    <w:rPr>
      <w:rFonts w:cs="Symbol"/>
      <w:sz w:val="20"/>
    </w:rPr>
  </w:style>
  <w:style w:type="character" w:styleId="ListLabel72">
    <w:name w:val="ListLabel 72"/>
    <w:qFormat/>
    <w:rPr>
      <w:rFonts w:cs="Symbol"/>
      <w:sz w:val="20"/>
    </w:rPr>
  </w:style>
  <w:style w:type="character" w:styleId="ListLabel73">
    <w:name w:val="ListLabel 73"/>
    <w:qFormat/>
    <w:rPr>
      <w:rFonts w:cs="Symbol"/>
      <w:sz w:val="20"/>
    </w:rPr>
  </w:style>
  <w:style w:type="character" w:styleId="ListLabel74">
    <w:name w:val="ListLabel 74"/>
    <w:qFormat/>
    <w:rPr>
      <w:rFonts w:cs="Symbol"/>
      <w:sz w:val="20"/>
    </w:rPr>
  </w:style>
  <w:style w:type="character" w:styleId="ListLabel75">
    <w:name w:val="ListLabel 75"/>
    <w:qFormat/>
    <w:rPr>
      <w:rFonts w:cs="Symbol"/>
      <w:sz w:val="20"/>
    </w:rPr>
  </w:style>
  <w:style w:type="character" w:styleId="ListLabel76">
    <w:name w:val="ListLabel 76"/>
    <w:qFormat/>
    <w:rPr>
      <w:rFonts w:cs="Symbol"/>
      <w:sz w:val="20"/>
    </w:rPr>
  </w:style>
  <w:style w:type="character" w:styleId="ListLabel77">
    <w:name w:val="ListLabel 77"/>
    <w:qFormat/>
    <w:rPr>
      <w:rFonts w:cs="Symbol"/>
      <w:sz w:val="20"/>
    </w:rPr>
  </w:style>
  <w:style w:type="character" w:styleId="ListLabel78">
    <w:name w:val="ListLabel 78"/>
    <w:qFormat/>
    <w:rPr>
      <w:rFonts w:cs="Symbol"/>
      <w:sz w:val="20"/>
    </w:rPr>
  </w:style>
  <w:style w:type="character" w:styleId="ListLabel79">
    <w:name w:val="ListLabel 79"/>
    <w:qFormat/>
    <w:rPr>
      <w:rFonts w:cs="Symbol"/>
      <w:sz w:val="20"/>
    </w:rPr>
  </w:style>
  <w:style w:type="character" w:styleId="ListLabel80">
    <w:name w:val="ListLabel 80"/>
    <w:qFormat/>
    <w:rPr>
      <w:rFonts w:cs="Symbol"/>
      <w:sz w:val="20"/>
    </w:rPr>
  </w:style>
  <w:style w:type="character" w:styleId="ListLabel81">
    <w:name w:val="ListLabel 81"/>
    <w:qFormat/>
    <w:rPr>
      <w:rFonts w:cs="Symbol"/>
      <w:sz w:val="20"/>
    </w:rPr>
  </w:style>
  <w:style w:type="character" w:styleId="ListLabel82">
    <w:name w:val="ListLabel 82"/>
    <w:qFormat/>
    <w:rPr>
      <w:rFonts w:cs="Symbol"/>
      <w:sz w:val="20"/>
    </w:rPr>
  </w:style>
  <w:style w:type="character" w:styleId="ListLabel83">
    <w:name w:val="ListLabel 83"/>
    <w:qFormat/>
    <w:rPr>
      <w:rFonts w:cs="Symbol"/>
      <w:sz w:val="20"/>
    </w:rPr>
  </w:style>
  <w:style w:type="character" w:styleId="ListLabel84">
    <w:name w:val="ListLabel 84"/>
    <w:qFormat/>
    <w:rPr>
      <w:rFonts w:cs="Symbol"/>
      <w:sz w:val="20"/>
    </w:rPr>
  </w:style>
  <w:style w:type="character" w:styleId="ListLabel85">
    <w:name w:val="ListLabel 85"/>
    <w:qFormat/>
    <w:rPr>
      <w:rFonts w:cs="Symbol"/>
      <w:sz w:val="20"/>
    </w:rPr>
  </w:style>
  <w:style w:type="character" w:styleId="ListLabel86">
    <w:name w:val="ListLabel 86"/>
    <w:qFormat/>
    <w:rPr>
      <w:rFonts w:cs="Symbol"/>
      <w:sz w:val="20"/>
    </w:rPr>
  </w:style>
  <w:style w:type="character" w:styleId="ListLabel87">
    <w:name w:val="ListLabel 87"/>
    <w:qFormat/>
    <w:rPr>
      <w:rFonts w:cs="Symbol"/>
      <w:sz w:val="20"/>
    </w:rPr>
  </w:style>
  <w:style w:type="character" w:styleId="ListLabel88">
    <w:name w:val="ListLabel 88"/>
    <w:qFormat/>
    <w:rPr>
      <w:rFonts w:cs="Symbol"/>
      <w:sz w:val="20"/>
    </w:rPr>
  </w:style>
  <w:style w:type="character" w:styleId="ListLabel89">
    <w:name w:val="ListLabel 89"/>
    <w:qFormat/>
    <w:rPr>
      <w:rFonts w:cs="Symbol"/>
      <w:sz w:val="20"/>
    </w:rPr>
  </w:style>
  <w:style w:type="character" w:styleId="ListLabel90">
    <w:name w:val="ListLabel 90"/>
    <w:qFormat/>
    <w:rPr>
      <w:rFonts w:cs="Symbol"/>
      <w:sz w:val="20"/>
    </w:rPr>
  </w:style>
  <w:style w:type="character" w:styleId="ListLabel91">
    <w:name w:val="ListLabel 91"/>
    <w:qFormat/>
    <w:rPr>
      <w:rFonts w:cs="Symbol"/>
      <w:sz w:val="20"/>
    </w:rPr>
  </w:style>
  <w:style w:type="character" w:styleId="ListLabel92">
    <w:name w:val="ListLabel 92"/>
    <w:qFormat/>
    <w:rPr>
      <w:rFonts w:cs="Symbol"/>
      <w:sz w:val="20"/>
    </w:rPr>
  </w:style>
  <w:style w:type="character" w:styleId="ListLabel93">
    <w:name w:val="ListLabel 93"/>
    <w:qFormat/>
    <w:rPr>
      <w:rFonts w:cs="Symbol"/>
      <w:sz w:val="20"/>
    </w:rPr>
  </w:style>
  <w:style w:type="character" w:styleId="ListLabel94">
    <w:name w:val="ListLabel 94"/>
    <w:qFormat/>
    <w:rPr>
      <w:rFonts w:cs="Symbol"/>
      <w:sz w:val="20"/>
    </w:rPr>
  </w:style>
  <w:style w:type="character" w:styleId="ListLabel95">
    <w:name w:val="ListLabel 95"/>
    <w:qFormat/>
    <w:rPr>
      <w:rFonts w:cs="Symbol"/>
      <w:sz w:val="20"/>
    </w:rPr>
  </w:style>
  <w:style w:type="character" w:styleId="ListLabel96">
    <w:name w:val="ListLabel 96"/>
    <w:qFormat/>
    <w:rPr>
      <w:rFonts w:cs="Symbol"/>
      <w:sz w:val="20"/>
    </w:rPr>
  </w:style>
  <w:style w:type="character" w:styleId="ListLabel97">
    <w:name w:val="ListLabel 97"/>
    <w:qFormat/>
    <w:rPr>
      <w:rFonts w:cs="Symbol"/>
      <w:sz w:val="20"/>
    </w:rPr>
  </w:style>
  <w:style w:type="character" w:styleId="ListLabel98">
    <w:name w:val="ListLabel 98"/>
    <w:qFormat/>
    <w:rPr>
      <w:rFonts w:cs="Symbol"/>
      <w:sz w:val="20"/>
    </w:rPr>
  </w:style>
  <w:style w:type="character" w:styleId="ListLabel99">
    <w:name w:val="ListLabel 99"/>
    <w:qFormat/>
    <w:rPr>
      <w:rFonts w:cs="Symbol"/>
      <w:sz w:val="20"/>
    </w:rPr>
  </w:style>
  <w:style w:type="character" w:styleId="ListLabel100">
    <w:name w:val="ListLabel 100"/>
    <w:qFormat/>
    <w:rPr>
      <w:rFonts w:cs="Symbol"/>
      <w:sz w:val="20"/>
    </w:rPr>
  </w:style>
  <w:style w:type="character" w:styleId="ListLabel101">
    <w:name w:val="ListLabel 101"/>
    <w:qFormat/>
    <w:rPr>
      <w:rFonts w:cs="Symbol"/>
      <w:sz w:val="20"/>
    </w:rPr>
  </w:style>
  <w:style w:type="character" w:styleId="ListLabel102">
    <w:name w:val="ListLabel 102"/>
    <w:qFormat/>
    <w:rPr>
      <w:rFonts w:cs="Symbol"/>
      <w:sz w:val="20"/>
    </w:rPr>
  </w:style>
  <w:style w:type="character" w:styleId="ListLabel103">
    <w:name w:val="ListLabel 103"/>
    <w:qFormat/>
    <w:rPr>
      <w:rFonts w:cs="Symbol"/>
      <w:sz w:val="20"/>
    </w:rPr>
  </w:style>
  <w:style w:type="character" w:styleId="ListLabel104">
    <w:name w:val="ListLabel 104"/>
    <w:qFormat/>
    <w:rPr>
      <w:rFonts w:cs="Symbol"/>
      <w:sz w:val="20"/>
    </w:rPr>
  </w:style>
  <w:style w:type="character" w:styleId="ListLabel105">
    <w:name w:val="ListLabel 105"/>
    <w:qFormat/>
    <w:rPr>
      <w:rFonts w:cs="Symbol"/>
      <w:sz w:val="20"/>
    </w:rPr>
  </w:style>
  <w:style w:type="character" w:styleId="ListLabel106">
    <w:name w:val="ListLabel 106"/>
    <w:qFormat/>
    <w:rPr>
      <w:rFonts w:cs="Symbol"/>
      <w:sz w:val="20"/>
    </w:rPr>
  </w:style>
  <w:style w:type="character" w:styleId="ListLabel107">
    <w:name w:val="ListLabel 107"/>
    <w:qFormat/>
    <w:rPr>
      <w:rFonts w:cs="Symbol"/>
      <w:sz w:val="20"/>
    </w:rPr>
  </w:style>
  <w:style w:type="character" w:styleId="ListLabel108">
    <w:name w:val="ListLabel 108"/>
    <w:qFormat/>
    <w:rPr>
      <w:rFonts w:cs="Symbol"/>
      <w:sz w:val="20"/>
    </w:rPr>
  </w:style>
  <w:style w:type="character" w:styleId="ListLabel109">
    <w:name w:val="ListLabel 109"/>
    <w:qFormat/>
    <w:rPr>
      <w:rFonts w:cs="Symbol"/>
      <w:sz w:val="20"/>
    </w:rPr>
  </w:style>
  <w:style w:type="character" w:styleId="ListLabel110">
    <w:name w:val="ListLabel 110"/>
    <w:qFormat/>
    <w:rPr>
      <w:rFonts w:cs="Symbol"/>
      <w:sz w:val="20"/>
    </w:rPr>
  </w:style>
  <w:style w:type="character" w:styleId="ListLabel111">
    <w:name w:val="ListLabel 111"/>
    <w:qFormat/>
    <w:rPr>
      <w:rFonts w:cs="Symbol"/>
      <w:sz w:val="20"/>
    </w:rPr>
  </w:style>
  <w:style w:type="character" w:styleId="ListLabel112">
    <w:name w:val="ListLabel 112"/>
    <w:qFormat/>
    <w:rPr>
      <w:rFonts w:cs="Symbol"/>
      <w:sz w:val="20"/>
    </w:rPr>
  </w:style>
  <w:style w:type="character" w:styleId="ListLabel113">
    <w:name w:val="ListLabel 113"/>
    <w:qFormat/>
    <w:rPr>
      <w:rFonts w:cs="Symbol"/>
      <w:sz w:val="20"/>
    </w:rPr>
  </w:style>
  <w:style w:type="character" w:styleId="ListLabel114">
    <w:name w:val="ListLabel 114"/>
    <w:qFormat/>
    <w:rPr>
      <w:rFonts w:cs="Symbol"/>
      <w:sz w:val="20"/>
    </w:rPr>
  </w:style>
  <w:style w:type="character" w:styleId="ListLabel115">
    <w:name w:val="ListLabel 115"/>
    <w:qFormat/>
    <w:rPr>
      <w:rFonts w:cs="Symbol"/>
      <w:sz w:val="20"/>
    </w:rPr>
  </w:style>
  <w:style w:type="character" w:styleId="ListLabel116">
    <w:name w:val="ListLabel 116"/>
    <w:qFormat/>
    <w:rPr>
      <w:rFonts w:cs="Symbol"/>
      <w:sz w:val="20"/>
    </w:rPr>
  </w:style>
  <w:style w:type="character" w:styleId="ListLabel117">
    <w:name w:val="ListLabel 117"/>
    <w:qFormat/>
    <w:rPr>
      <w:rFonts w:cs="Symbol"/>
      <w:sz w:val="20"/>
    </w:rPr>
  </w:style>
  <w:style w:type="character" w:styleId="ListLabel118">
    <w:name w:val="ListLabel 118"/>
    <w:qFormat/>
    <w:rPr>
      <w:rFonts w:cs="Symbol"/>
      <w:sz w:val="20"/>
    </w:rPr>
  </w:style>
  <w:style w:type="character" w:styleId="ListLabel119">
    <w:name w:val="ListLabel 119"/>
    <w:qFormat/>
    <w:rPr>
      <w:rFonts w:cs="Symbol"/>
      <w:sz w:val="20"/>
    </w:rPr>
  </w:style>
  <w:style w:type="character" w:styleId="ListLabel120">
    <w:name w:val="ListLabel 120"/>
    <w:qFormat/>
    <w:rPr>
      <w:rFonts w:cs="Symbol"/>
      <w:sz w:val="20"/>
    </w:rPr>
  </w:style>
  <w:style w:type="character" w:styleId="ListLabel121">
    <w:name w:val="ListLabel 121"/>
    <w:qFormat/>
    <w:rPr>
      <w:rFonts w:cs="Symbol"/>
      <w:sz w:val="20"/>
    </w:rPr>
  </w:style>
  <w:style w:type="character" w:styleId="ListLabel122">
    <w:name w:val="ListLabel 122"/>
    <w:qFormat/>
    <w:rPr>
      <w:rFonts w:cs="Symbol"/>
      <w:sz w:val="20"/>
    </w:rPr>
  </w:style>
  <w:style w:type="character" w:styleId="ListLabel123">
    <w:name w:val="ListLabel 123"/>
    <w:qFormat/>
    <w:rPr>
      <w:rFonts w:cs="Symbol"/>
      <w:sz w:val="20"/>
    </w:rPr>
  </w:style>
  <w:style w:type="character" w:styleId="ListLabel124">
    <w:name w:val="ListLabel 124"/>
    <w:qFormat/>
    <w:rPr>
      <w:rFonts w:cs="Symbol"/>
      <w:sz w:val="20"/>
    </w:rPr>
  </w:style>
  <w:style w:type="character" w:styleId="ListLabel125">
    <w:name w:val="ListLabel 125"/>
    <w:qFormat/>
    <w:rPr>
      <w:rFonts w:cs="Symbol"/>
      <w:sz w:val="20"/>
    </w:rPr>
  </w:style>
  <w:style w:type="character" w:styleId="ListLabel126">
    <w:name w:val="ListLabel 126"/>
    <w:qFormat/>
    <w:rPr>
      <w:rFonts w:cs="Symbol"/>
      <w:sz w:val="20"/>
    </w:rPr>
  </w:style>
  <w:style w:type="character" w:styleId="ListLabel127">
    <w:name w:val="ListLabel 127"/>
    <w:qFormat/>
    <w:rPr>
      <w:rFonts w:cs="Symbol"/>
      <w:sz w:val="20"/>
    </w:rPr>
  </w:style>
  <w:style w:type="character" w:styleId="ListLabel128">
    <w:name w:val="ListLabel 128"/>
    <w:qFormat/>
    <w:rPr>
      <w:rFonts w:cs="Symbol"/>
      <w:sz w:val="20"/>
    </w:rPr>
  </w:style>
  <w:style w:type="character" w:styleId="ListLabel129">
    <w:name w:val="ListLabel 129"/>
    <w:qFormat/>
    <w:rPr>
      <w:rFonts w:cs="Symbol"/>
      <w:sz w:val="20"/>
    </w:rPr>
  </w:style>
  <w:style w:type="character" w:styleId="ListLabel130">
    <w:name w:val="ListLabel 130"/>
    <w:qFormat/>
    <w:rPr>
      <w:rFonts w:cs="Symbol"/>
      <w:sz w:val="20"/>
    </w:rPr>
  </w:style>
  <w:style w:type="character" w:styleId="ListLabel131">
    <w:name w:val="ListLabel 131"/>
    <w:qFormat/>
    <w:rPr>
      <w:rFonts w:cs="Symbol"/>
      <w:sz w:val="20"/>
    </w:rPr>
  </w:style>
  <w:style w:type="character" w:styleId="ListLabel132">
    <w:name w:val="ListLabel 132"/>
    <w:qFormat/>
    <w:rPr>
      <w:rFonts w:cs="Symbol"/>
      <w:sz w:val="20"/>
    </w:rPr>
  </w:style>
  <w:style w:type="character" w:styleId="ListLabel133">
    <w:name w:val="ListLabel 133"/>
    <w:qFormat/>
    <w:rPr>
      <w:rFonts w:cs="Symbol"/>
      <w:sz w:val="20"/>
    </w:rPr>
  </w:style>
  <w:style w:type="character" w:styleId="ListLabel134">
    <w:name w:val="ListLabel 134"/>
    <w:qFormat/>
    <w:rPr>
      <w:rFonts w:cs="Symbol"/>
      <w:sz w:val="20"/>
    </w:rPr>
  </w:style>
  <w:style w:type="character" w:styleId="ListLabel135">
    <w:name w:val="ListLabel 135"/>
    <w:qFormat/>
    <w:rPr>
      <w:rFonts w:cs="Symbol"/>
      <w:sz w:val="20"/>
    </w:rPr>
  </w:style>
  <w:style w:type="character" w:styleId="ListLabel136">
    <w:name w:val="ListLabel 136"/>
    <w:qFormat/>
    <w:rPr>
      <w:rFonts w:cs="Symbol"/>
      <w:sz w:val="20"/>
    </w:rPr>
  </w:style>
  <w:style w:type="character" w:styleId="ListLabel137">
    <w:name w:val="ListLabel 137"/>
    <w:qFormat/>
    <w:rPr>
      <w:rFonts w:cs="Symbol"/>
      <w:sz w:val="20"/>
    </w:rPr>
  </w:style>
  <w:style w:type="character" w:styleId="ListLabel138">
    <w:name w:val="ListLabel 138"/>
    <w:qFormat/>
    <w:rPr>
      <w:rFonts w:cs="Symbol"/>
      <w:sz w:val="20"/>
    </w:rPr>
  </w:style>
  <w:style w:type="character" w:styleId="ListLabel139">
    <w:name w:val="ListLabel 139"/>
    <w:qFormat/>
    <w:rPr>
      <w:rFonts w:cs="Symbol"/>
      <w:sz w:val="20"/>
    </w:rPr>
  </w:style>
  <w:style w:type="character" w:styleId="ListLabel140">
    <w:name w:val="ListLabel 140"/>
    <w:qFormat/>
    <w:rPr>
      <w:rFonts w:cs="Symbol"/>
      <w:sz w:val="20"/>
    </w:rPr>
  </w:style>
  <w:style w:type="character" w:styleId="ListLabel141">
    <w:name w:val="ListLabel 141"/>
    <w:qFormat/>
    <w:rPr>
      <w:rFonts w:cs="Symbol"/>
      <w:sz w:val="20"/>
    </w:rPr>
  </w:style>
  <w:style w:type="character" w:styleId="ListLabel142">
    <w:name w:val="ListLabel 142"/>
    <w:qFormat/>
    <w:rPr>
      <w:rFonts w:cs="Symbol"/>
      <w:sz w:val="20"/>
    </w:rPr>
  </w:style>
  <w:style w:type="character" w:styleId="ListLabel143">
    <w:name w:val="ListLabel 143"/>
    <w:qFormat/>
    <w:rPr>
      <w:rFonts w:cs="Symbol"/>
      <w:sz w:val="20"/>
    </w:rPr>
  </w:style>
  <w:style w:type="character" w:styleId="ListLabel144">
    <w:name w:val="ListLabel 144"/>
    <w:qFormat/>
    <w:rPr>
      <w:rFonts w:cs="Symbol"/>
      <w:sz w:val="20"/>
    </w:rPr>
  </w:style>
  <w:style w:type="character" w:styleId="ListLabel145">
    <w:name w:val="ListLabel 145"/>
    <w:qFormat/>
    <w:rPr>
      <w:rFonts w:cs="Symbol"/>
      <w:sz w:val="20"/>
    </w:rPr>
  </w:style>
  <w:style w:type="character" w:styleId="ListLabel146">
    <w:name w:val="ListLabel 146"/>
    <w:qFormat/>
    <w:rPr>
      <w:rFonts w:cs="Symbol"/>
      <w:sz w:val="20"/>
    </w:rPr>
  </w:style>
  <w:style w:type="character" w:styleId="ListLabel147">
    <w:name w:val="ListLabel 147"/>
    <w:qFormat/>
    <w:rPr>
      <w:rFonts w:cs="Symbol"/>
      <w:sz w:val="20"/>
    </w:rPr>
  </w:style>
  <w:style w:type="character" w:styleId="ListLabel148">
    <w:name w:val="ListLabel 148"/>
    <w:qFormat/>
    <w:rPr>
      <w:rFonts w:cs="Symbol"/>
      <w:sz w:val="20"/>
    </w:rPr>
  </w:style>
  <w:style w:type="character" w:styleId="ListLabel149">
    <w:name w:val="ListLabel 149"/>
    <w:qFormat/>
    <w:rPr>
      <w:rFonts w:cs="Symbol"/>
      <w:sz w:val="20"/>
    </w:rPr>
  </w:style>
  <w:style w:type="character" w:styleId="ListLabel150">
    <w:name w:val="ListLabel 150"/>
    <w:qFormat/>
    <w:rPr>
      <w:rFonts w:cs="Symbol"/>
      <w:sz w:val="20"/>
    </w:rPr>
  </w:style>
  <w:style w:type="character" w:styleId="ListLabel151">
    <w:name w:val="ListLabel 151"/>
    <w:qFormat/>
    <w:rPr>
      <w:rFonts w:cs="Symbol"/>
      <w:sz w:val="20"/>
    </w:rPr>
  </w:style>
  <w:style w:type="character" w:styleId="ListLabel152">
    <w:name w:val="ListLabel 152"/>
    <w:qFormat/>
    <w:rPr>
      <w:rFonts w:cs="Symbol"/>
      <w:sz w:val="20"/>
    </w:rPr>
  </w:style>
  <w:style w:type="character" w:styleId="ListLabel153">
    <w:name w:val="ListLabel 153"/>
    <w:qFormat/>
    <w:rPr>
      <w:rFonts w:cs="Symbol"/>
      <w:sz w:val="20"/>
    </w:rPr>
  </w:style>
  <w:style w:type="character" w:styleId="ListLabel154">
    <w:name w:val="ListLabel 154"/>
    <w:qFormat/>
    <w:rPr>
      <w:rFonts w:cs="Symbol"/>
      <w:sz w:val="20"/>
    </w:rPr>
  </w:style>
  <w:style w:type="character" w:styleId="ListLabel155">
    <w:name w:val="ListLabel 155"/>
    <w:qFormat/>
    <w:rPr>
      <w:rFonts w:cs="Symbol"/>
      <w:sz w:val="20"/>
    </w:rPr>
  </w:style>
  <w:style w:type="character" w:styleId="ListLabel156">
    <w:name w:val="ListLabel 156"/>
    <w:qFormat/>
    <w:rPr>
      <w:rFonts w:cs="Symbol"/>
      <w:sz w:val="20"/>
    </w:rPr>
  </w:style>
  <w:style w:type="character" w:styleId="ListLabel157">
    <w:name w:val="ListLabel 157"/>
    <w:qFormat/>
    <w:rPr>
      <w:rFonts w:cs="Symbol"/>
      <w:sz w:val="20"/>
    </w:rPr>
  </w:style>
  <w:style w:type="character" w:styleId="ListLabel158">
    <w:name w:val="ListLabel 158"/>
    <w:qFormat/>
    <w:rPr>
      <w:rFonts w:cs="Symbol"/>
      <w:sz w:val="20"/>
    </w:rPr>
  </w:style>
  <w:style w:type="character" w:styleId="ListLabel159">
    <w:name w:val="ListLabel 159"/>
    <w:qFormat/>
    <w:rPr>
      <w:rFonts w:cs="Symbol"/>
      <w:sz w:val="20"/>
    </w:rPr>
  </w:style>
  <w:style w:type="character" w:styleId="ListLabel160">
    <w:name w:val="ListLabel 160"/>
    <w:qFormat/>
    <w:rPr>
      <w:rFonts w:cs="Symbol"/>
      <w:sz w:val="20"/>
    </w:rPr>
  </w:style>
  <w:style w:type="character" w:styleId="ListLabel161">
    <w:name w:val="ListLabel 161"/>
    <w:qFormat/>
    <w:rPr>
      <w:rFonts w:cs="Symbol"/>
      <w:sz w:val="20"/>
    </w:rPr>
  </w:style>
  <w:style w:type="character" w:styleId="ListLabel162">
    <w:name w:val="ListLabel 162"/>
    <w:qFormat/>
    <w:rPr>
      <w:rFonts w:cs="Symbol"/>
      <w:sz w:val="20"/>
    </w:rPr>
  </w:style>
  <w:style w:type="character" w:styleId="Ershangslyozs">
    <w:name w:val="Erős hangsúlyozás"/>
    <w:qFormat/>
    <w:rPr>
      <w:b/>
      <w:bCs/>
    </w:rPr>
  </w:style>
  <w:style w:type="paragraph" w:styleId="Cmsor">
    <w:name w:val="Címsor"/>
    <w:basedOn w:val="Normal"/>
    <w:next w:val="Szvegtrzs"/>
    <w:qFormat/>
    <w:pPr>
      <w:keepNext/>
      <w:spacing w:before="240" w:after="120"/>
    </w:pPr>
    <w:rPr>
      <w:rFonts w:ascii="Liberation Sans" w:hAnsi="Liberation Sans" w:eastAsia="Microsoft YaHei" w:cs="Mangal"/>
      <w:sz w:val="28"/>
      <w:szCs w:val="28"/>
    </w:rPr>
  </w:style>
  <w:style w:type="paragraph" w:styleId="Szvegtrzs">
    <w:name w:val="Body Text"/>
    <w:basedOn w:val="Normal"/>
    <w:pPr>
      <w:spacing w:lineRule="auto" w:line="288" w:before="0" w:after="140"/>
    </w:pPr>
    <w:rPr/>
  </w:style>
  <w:style w:type="paragraph" w:styleId="Lista">
    <w:name w:val="List"/>
    <w:basedOn w:val="Szvegtrzs"/>
    <w:pPr/>
    <w:rPr>
      <w:rFonts w:cs="Mangal"/>
    </w:rPr>
  </w:style>
  <w:style w:type="paragraph" w:styleId="Felirat">
    <w:name w:val="Caption"/>
    <w:basedOn w:val="Normal"/>
    <w:qFormat/>
    <w:pPr>
      <w:suppressLineNumbers/>
      <w:spacing w:before="120" w:after="120"/>
    </w:pPr>
    <w:rPr>
      <w:rFonts w:cs="Mangal"/>
      <w:i/>
      <w:iCs/>
      <w:sz w:val="24"/>
      <w:szCs w:val="24"/>
    </w:rPr>
  </w:style>
  <w:style w:type="paragraph" w:styleId="Trgymutat">
    <w:name w:val="Tárgymutató"/>
    <w:basedOn w:val="Normal"/>
    <w:qFormat/>
    <w:pPr>
      <w:suppressLineNumbers/>
    </w:pPr>
    <w:rPr>
      <w:rFonts w:cs="Mangal"/>
    </w:rPr>
  </w:style>
  <w:style w:type="paragraph" w:styleId="Llb">
    <w:name w:val="Footer"/>
    <w:basedOn w:val="Normal"/>
    <w:link w:val="llbChar"/>
    <w:uiPriority w:val="99"/>
    <w:unhideWhenUsed/>
    <w:rsid w:val="00c03c29"/>
    <w:pPr>
      <w:tabs>
        <w:tab w:val="center" w:pos="4536" w:leader="none"/>
        <w:tab w:val="right" w:pos="9072" w:leader="none"/>
      </w:tabs>
    </w:pPr>
    <w:rPr>
      <w:rFonts w:eastAsia="Calibri"/>
      <w:szCs w:val="24"/>
    </w:rPr>
  </w:style>
  <w:style w:type="paragraph" w:styleId="BalloonText">
    <w:name w:val="Balloon Text"/>
    <w:basedOn w:val="Normal"/>
    <w:link w:val="BuborkszvegChar"/>
    <w:uiPriority w:val="99"/>
    <w:semiHidden/>
    <w:unhideWhenUsed/>
    <w:qFormat/>
    <w:rsid w:val="007f4bdb"/>
    <w:pPr/>
    <w:rPr>
      <w:rFonts w:ascii="Segoe UI" w:hAnsi="Segoe UI" w:cs="Segoe UI"/>
      <w:sz w:val="18"/>
      <w:szCs w:val="18"/>
    </w:rPr>
  </w:style>
  <w:style w:type="paragraph" w:styleId="Norml1">
    <w:name w:val="Normál1"/>
    <w:qFormat/>
    <w:pPr>
      <w:widowControl/>
      <w:bidi w:val="0"/>
      <w:spacing w:lineRule="auto" w:line="276" w:before="0" w:after="0"/>
      <w:jc w:val="left"/>
    </w:pPr>
    <w:rPr>
      <w:rFonts w:ascii="Arial" w:hAnsi="Arial" w:eastAsia="Arial" w:cs="Arial"/>
      <w:color w:val="000000"/>
      <w:sz w:val="24"/>
      <w:szCs w:val="22"/>
      <w:lang w:eastAsia="hu-HU" w:val="hu-HU" w:bidi="ar-SA"/>
    </w:rPr>
  </w:style>
  <w:style w:type="numbering" w:styleId="NoList" w:default="1">
    <w:name w:val="No List"/>
    <w:uiPriority w:val="99"/>
    <w:semiHidden/>
    <w:unhideWhenUsed/>
    <w:qFormat/>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Application>LibreOffice/5.3.4.2$Windows_x86 LibreOffice_project/f82d347ccc0be322489bf7da61d7e4ad13fe2ff3</Application>
  <Pages>14</Pages>
  <Words>4826</Words>
  <Characters>33359</Characters>
  <CharactersWithSpaces>38028</CharactersWithSpaces>
  <Paragraphs>242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2017-09-01T09:18:00Z</dcterms:created>
  <dc:creator>toth_tibor</dc:creator>
  <dc:description/>
  <dc:language>hu-HU</dc:language>
  <cp:lastModifiedBy/>
  <cp:lastPrinted>2017-09-15T08:50:14Z</cp:lastPrinted>
  <dcterms:modified xsi:type="dcterms:W3CDTF">2017-09-15T11:29:12Z</dcterms:modified>
  <cp:revision>38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